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2B7344" w:rsidP="002B7344">
      <w:pPr>
        <w:pStyle w:val="Heading1"/>
      </w:pPr>
      <w:bookmarkStart w:id="0" w:name="_GoBack"/>
      <w:bookmarkEnd w:id="0"/>
      <w:r>
        <w:t>National Redress Scheme –</w:t>
      </w:r>
      <w:r w:rsidR="00896489">
        <w:t xml:space="preserve"> for people who</w:t>
      </w:r>
      <w:r>
        <w:t xml:space="preserve"> have experienced institutional child sexual abuse</w:t>
      </w:r>
    </w:p>
    <w:p w:rsidR="002B7344" w:rsidRDefault="002B7344" w:rsidP="002B7344"/>
    <w:p w:rsidR="002B7344" w:rsidRPr="00967470" w:rsidRDefault="002B7344" w:rsidP="002B7344">
      <w:pPr>
        <w:pStyle w:val="Heading2"/>
        <w:rPr>
          <w:sz w:val="32"/>
          <w:szCs w:val="32"/>
        </w:rPr>
      </w:pPr>
      <w:r w:rsidRPr="00967470">
        <w:rPr>
          <w:sz w:val="32"/>
          <w:szCs w:val="32"/>
        </w:rPr>
        <w:t>Strategic Success Measures</w:t>
      </w:r>
      <w:r w:rsidR="005E2C7F" w:rsidRPr="00967470">
        <w:rPr>
          <w:sz w:val="32"/>
          <w:szCs w:val="32"/>
        </w:rPr>
        <w:t xml:space="preserve"> July 2021</w:t>
      </w:r>
    </w:p>
    <w:p w:rsidR="00967470" w:rsidRPr="00967470" w:rsidRDefault="00967470" w:rsidP="00967470"/>
    <w:p w:rsidR="005E2C7F" w:rsidRPr="005E2C7F" w:rsidRDefault="005E2C7F" w:rsidP="00967470">
      <w:pPr>
        <w:pStyle w:val="Heading2"/>
        <w:spacing w:after="120"/>
      </w:pPr>
      <w:r>
        <w:t>Key operating data: Redress Applications</w:t>
      </w:r>
    </w:p>
    <w:p w:rsidR="005E2C7F" w:rsidRPr="005E2C7F" w:rsidRDefault="005E2C7F" w:rsidP="005E2C7F">
      <w:r w:rsidRPr="005E2C7F">
        <w:t xml:space="preserve">As at </w:t>
      </w:r>
      <w:r w:rsidRPr="005E2C7F">
        <w:rPr>
          <w:b/>
          <w:bCs/>
        </w:rPr>
        <w:t>31 March 2021</w:t>
      </w:r>
      <w:r w:rsidRPr="005E2C7F">
        <w:t xml:space="preserve">, the total number of applications received by the Scheme increased by </w:t>
      </w:r>
      <w:r w:rsidRPr="005E2C7F">
        <w:rPr>
          <w:b/>
          <w:bCs/>
        </w:rPr>
        <w:t>2,720 (37</w:t>
      </w:r>
      <w:r w:rsidR="00B06BA6">
        <w:rPr>
          <w:b/>
          <w:bCs/>
        </w:rPr>
        <w:t xml:space="preserve"> per cent</w:t>
      </w:r>
      <w:r w:rsidRPr="005E2C7F">
        <w:rPr>
          <w:b/>
          <w:bCs/>
        </w:rPr>
        <w:t xml:space="preserve">) </w:t>
      </w:r>
      <w:r w:rsidRPr="005E2C7F">
        <w:t xml:space="preserve">from the previous reporting period of 1 July 2019 to 30 June 2020. This brings the total number of redress applications to </w:t>
      </w:r>
      <w:r w:rsidRPr="005E2C7F">
        <w:rPr>
          <w:b/>
          <w:bCs/>
        </w:rPr>
        <w:t>10,047</w:t>
      </w:r>
      <w:r w:rsidRPr="005E2C7F">
        <w:t>.</w:t>
      </w:r>
    </w:p>
    <w:p w:rsidR="005E2C7F" w:rsidRPr="005E2C7F" w:rsidRDefault="005E2C7F" w:rsidP="005E2C7F">
      <w:r w:rsidRPr="005E2C7F">
        <w:t xml:space="preserve">As at </w:t>
      </w:r>
      <w:r w:rsidRPr="005E2C7F">
        <w:rPr>
          <w:b/>
          <w:bCs/>
        </w:rPr>
        <w:t>31 March 2021</w:t>
      </w:r>
      <w:r w:rsidRPr="005E2C7F">
        <w:t xml:space="preserve">, over </w:t>
      </w:r>
      <w:r w:rsidRPr="005E2C7F">
        <w:rPr>
          <w:b/>
          <w:bCs/>
        </w:rPr>
        <w:t xml:space="preserve">1,500 </w:t>
      </w:r>
      <w:r w:rsidRPr="005E2C7F">
        <w:t>unique</w:t>
      </w:r>
      <w:r w:rsidRPr="005E2C7F">
        <w:rPr>
          <w:b/>
          <w:bCs/>
        </w:rPr>
        <w:t xml:space="preserve"> </w:t>
      </w:r>
      <w:r w:rsidRPr="005E2C7F">
        <w:t>institution sites (</w:t>
      </w:r>
      <w:r w:rsidR="00B06BA6">
        <w:t>for example,</w:t>
      </w:r>
      <w:r w:rsidRPr="005E2C7F">
        <w:t xml:space="preserve"> individual schools, orphanages, church groups) have been found responsible for abuse, resulting in approximately </w:t>
      </w:r>
      <w:r w:rsidRPr="005E2C7F">
        <w:rPr>
          <w:b/>
          <w:bCs/>
        </w:rPr>
        <w:t>5,275</w:t>
      </w:r>
      <w:r w:rsidRPr="005E2C7F">
        <w:t xml:space="preserve"> redress payments totalling approximately </w:t>
      </w:r>
      <w:r w:rsidRPr="005E2C7F">
        <w:rPr>
          <w:b/>
          <w:bCs/>
        </w:rPr>
        <w:t xml:space="preserve">$445 </w:t>
      </w:r>
      <w:r w:rsidR="00B06BA6">
        <w:rPr>
          <w:b/>
          <w:bCs/>
        </w:rPr>
        <w:t>m</w:t>
      </w:r>
      <w:r w:rsidRPr="005E2C7F">
        <w:rPr>
          <w:b/>
          <w:bCs/>
        </w:rPr>
        <w:t>illion</w:t>
      </w:r>
      <w:r w:rsidRPr="005E2C7F">
        <w:t>.</w:t>
      </w:r>
    </w:p>
    <w:p w:rsidR="005E2C7F" w:rsidRPr="005E2C7F" w:rsidRDefault="005E2C7F" w:rsidP="005E2C7F">
      <w:r w:rsidRPr="005E2C7F">
        <w:t xml:space="preserve">In the 12 months from </w:t>
      </w:r>
      <w:r w:rsidRPr="005E2C7F">
        <w:rPr>
          <w:b/>
          <w:bCs/>
        </w:rPr>
        <w:t>1 April 2020 – 31 March 2021</w:t>
      </w:r>
      <w:r w:rsidRPr="005E2C7F">
        <w:t>:</w:t>
      </w:r>
    </w:p>
    <w:p w:rsidR="00E270F7" w:rsidRPr="005E2C7F" w:rsidRDefault="00E270F7" w:rsidP="005E2C7F">
      <w:pPr>
        <w:numPr>
          <w:ilvl w:val="0"/>
          <w:numId w:val="16"/>
        </w:numPr>
      </w:pPr>
      <w:r w:rsidRPr="005E2C7F">
        <w:rPr>
          <w:b/>
          <w:bCs/>
        </w:rPr>
        <w:t>3,497</w:t>
      </w:r>
      <w:r w:rsidRPr="005E2C7F">
        <w:t xml:space="preserve"> people applied for redress through the Scheme</w:t>
      </w:r>
    </w:p>
    <w:p w:rsidR="00E270F7" w:rsidRPr="005E2C7F" w:rsidRDefault="00E270F7" w:rsidP="005E2C7F">
      <w:pPr>
        <w:numPr>
          <w:ilvl w:val="0"/>
          <w:numId w:val="16"/>
        </w:numPr>
      </w:pPr>
      <w:r w:rsidRPr="005E2C7F">
        <w:rPr>
          <w:b/>
          <w:bCs/>
        </w:rPr>
        <w:t>4,028</w:t>
      </w:r>
      <w:r w:rsidRPr="005E2C7F">
        <w:t xml:space="preserve"> people were assessed as eligible for redress</w:t>
      </w:r>
    </w:p>
    <w:p w:rsidR="00E270F7" w:rsidRPr="005E2C7F" w:rsidRDefault="00E270F7" w:rsidP="005E2C7F">
      <w:pPr>
        <w:numPr>
          <w:ilvl w:val="0"/>
          <w:numId w:val="16"/>
        </w:numPr>
      </w:pPr>
      <w:r w:rsidRPr="005E2C7F">
        <w:rPr>
          <w:b/>
          <w:bCs/>
        </w:rPr>
        <w:t xml:space="preserve">134 </w:t>
      </w:r>
      <w:r w:rsidRPr="005E2C7F">
        <w:t>applications were assessed as ineligible</w:t>
      </w:r>
    </w:p>
    <w:p w:rsidR="00E270F7" w:rsidRPr="005E2C7F" w:rsidRDefault="00E270F7" w:rsidP="005E2C7F">
      <w:pPr>
        <w:numPr>
          <w:ilvl w:val="0"/>
          <w:numId w:val="16"/>
        </w:numPr>
      </w:pPr>
      <w:r w:rsidRPr="005E2C7F">
        <w:rPr>
          <w:b/>
          <w:bCs/>
        </w:rPr>
        <w:t xml:space="preserve">3,759 </w:t>
      </w:r>
      <w:r w:rsidRPr="005E2C7F">
        <w:t>people accepted an offer of redress</w:t>
      </w:r>
    </w:p>
    <w:p w:rsidR="00E270F7" w:rsidRPr="005E2C7F" w:rsidRDefault="00E270F7" w:rsidP="005E2C7F">
      <w:pPr>
        <w:numPr>
          <w:ilvl w:val="0"/>
          <w:numId w:val="16"/>
        </w:numPr>
      </w:pPr>
      <w:r w:rsidRPr="005E2C7F">
        <w:rPr>
          <w:b/>
          <w:bCs/>
        </w:rPr>
        <w:t xml:space="preserve">Fewer than five </w:t>
      </w:r>
      <w:r w:rsidRPr="005E2C7F">
        <w:t>people declined offers of redress</w:t>
      </w:r>
    </w:p>
    <w:p w:rsidR="00E270F7" w:rsidRPr="005E2C7F" w:rsidRDefault="00E270F7" w:rsidP="005E2C7F">
      <w:pPr>
        <w:numPr>
          <w:ilvl w:val="0"/>
          <w:numId w:val="16"/>
        </w:numPr>
      </w:pPr>
      <w:r w:rsidRPr="005E2C7F">
        <w:rPr>
          <w:b/>
          <w:bCs/>
        </w:rPr>
        <w:t xml:space="preserve">3,738 </w:t>
      </w:r>
      <w:r w:rsidRPr="005E2C7F">
        <w:t xml:space="preserve">applications were finalised, including </w:t>
      </w:r>
      <w:r w:rsidRPr="005E2C7F">
        <w:rPr>
          <w:b/>
          <w:bCs/>
        </w:rPr>
        <w:t xml:space="preserve">3,722 </w:t>
      </w:r>
      <w:r w:rsidRPr="005E2C7F">
        <w:t xml:space="preserve">redress payments ranging from less than </w:t>
      </w:r>
      <w:r w:rsidRPr="005E2C7F">
        <w:rPr>
          <w:b/>
          <w:bCs/>
        </w:rPr>
        <w:t>$10,000 to $150,000</w:t>
      </w:r>
      <w:r w:rsidRPr="005E2C7F">
        <w:t xml:space="preserve"> with an average payment of </w:t>
      </w:r>
      <w:r w:rsidRPr="005E2C7F">
        <w:rPr>
          <w:b/>
          <w:bCs/>
        </w:rPr>
        <w:t>$85,806</w:t>
      </w:r>
    </w:p>
    <w:p w:rsidR="00E270F7" w:rsidRPr="005E2C7F" w:rsidRDefault="00E270F7" w:rsidP="005E2C7F">
      <w:pPr>
        <w:numPr>
          <w:ilvl w:val="0"/>
          <w:numId w:val="16"/>
        </w:numPr>
      </w:pPr>
      <w:r w:rsidRPr="005E2C7F">
        <w:t xml:space="preserve">the total value of redress monetary payments was </w:t>
      </w:r>
      <w:r w:rsidRPr="005E2C7F">
        <w:rPr>
          <w:b/>
          <w:bCs/>
        </w:rPr>
        <w:t>$319,370,902</w:t>
      </w:r>
    </w:p>
    <w:p w:rsidR="00967470" w:rsidRDefault="00967470">
      <w:pPr>
        <w:rPr>
          <w:rFonts w:eastAsiaTheme="majorEastAsia" w:cstheme="majorBidi"/>
          <w:b/>
          <w:bCs/>
          <w:sz w:val="26"/>
          <w:szCs w:val="26"/>
        </w:rPr>
      </w:pPr>
      <w:r>
        <w:br w:type="page"/>
      </w:r>
    </w:p>
    <w:p w:rsidR="005E2C7F" w:rsidRDefault="005E2C7F" w:rsidP="00967470">
      <w:pPr>
        <w:pStyle w:val="Heading2"/>
        <w:spacing w:after="120"/>
      </w:pPr>
      <w:r>
        <w:lastRenderedPageBreak/>
        <w:t>Key operating data: Redress Outcomes</w:t>
      </w:r>
    </w:p>
    <w:p w:rsidR="005E2C7F" w:rsidRPr="005E2C7F" w:rsidRDefault="005E2C7F" w:rsidP="005E2C7F">
      <w:r w:rsidRPr="005E2C7F">
        <w:t xml:space="preserve">In the 12 months from </w:t>
      </w:r>
      <w:r w:rsidRPr="005E2C7F">
        <w:rPr>
          <w:b/>
          <w:bCs/>
        </w:rPr>
        <w:t>1 April 2020 – 31 March 2021:</w:t>
      </w:r>
    </w:p>
    <w:p w:rsidR="00E270F7" w:rsidRPr="005E2C7F" w:rsidRDefault="00E270F7" w:rsidP="005E2C7F">
      <w:pPr>
        <w:numPr>
          <w:ilvl w:val="0"/>
          <w:numId w:val="17"/>
        </w:numPr>
      </w:pPr>
      <w:r w:rsidRPr="005E2C7F">
        <w:rPr>
          <w:b/>
          <w:bCs/>
        </w:rPr>
        <w:t>2,638</w:t>
      </w:r>
      <w:r w:rsidRPr="005E2C7F">
        <w:t xml:space="preserve"> people requested counselling and psychological care as part of their redress outcomes</w:t>
      </w:r>
    </w:p>
    <w:p w:rsidR="00E270F7" w:rsidRPr="005E2C7F" w:rsidRDefault="00E270F7" w:rsidP="005E2C7F">
      <w:pPr>
        <w:numPr>
          <w:ilvl w:val="0"/>
          <w:numId w:val="17"/>
        </w:numPr>
      </w:pPr>
      <w:r w:rsidRPr="005E2C7F">
        <w:rPr>
          <w:b/>
          <w:bCs/>
        </w:rPr>
        <w:t xml:space="preserve">2,110 </w:t>
      </w:r>
      <w:r w:rsidRPr="005E2C7F">
        <w:t>people requested a direct personal response</w:t>
      </w:r>
    </w:p>
    <w:p w:rsidR="00E270F7" w:rsidRPr="005E2C7F" w:rsidRDefault="00E270F7" w:rsidP="005E2C7F">
      <w:pPr>
        <w:numPr>
          <w:ilvl w:val="0"/>
          <w:numId w:val="17"/>
        </w:numPr>
      </w:pPr>
      <w:r w:rsidRPr="005E2C7F">
        <w:rPr>
          <w:b/>
          <w:bCs/>
        </w:rPr>
        <w:t>68</w:t>
      </w:r>
      <w:r w:rsidR="001974AD">
        <w:rPr>
          <w:b/>
          <w:bCs/>
        </w:rPr>
        <w:t xml:space="preserve"> per cent</w:t>
      </w:r>
      <w:r w:rsidRPr="005E2C7F">
        <w:rPr>
          <w:b/>
          <w:bCs/>
        </w:rPr>
        <w:t xml:space="preserve"> </w:t>
      </w:r>
      <w:r w:rsidRPr="005E2C7F">
        <w:t>of applications name more than one institution in their application and</w:t>
      </w:r>
      <w:r w:rsidRPr="005E2C7F">
        <w:rPr>
          <w:b/>
          <w:bCs/>
        </w:rPr>
        <w:t xml:space="preserve"> 25</w:t>
      </w:r>
      <w:r w:rsidR="001974AD">
        <w:rPr>
          <w:b/>
          <w:bCs/>
        </w:rPr>
        <w:t xml:space="preserve"> per cent</w:t>
      </w:r>
      <w:r w:rsidRPr="005E2C7F">
        <w:rPr>
          <w:b/>
          <w:bCs/>
        </w:rPr>
        <w:t xml:space="preserve"> </w:t>
      </w:r>
      <w:r w:rsidRPr="005E2C7F">
        <w:t>of applications name four or more institutions</w:t>
      </w:r>
    </w:p>
    <w:p w:rsidR="00E270F7" w:rsidRPr="005E2C7F" w:rsidRDefault="00E270F7" w:rsidP="005E2C7F">
      <w:pPr>
        <w:numPr>
          <w:ilvl w:val="0"/>
          <w:numId w:val="17"/>
        </w:numPr>
      </w:pPr>
      <w:r w:rsidRPr="005E2C7F">
        <w:t>Substantial improvements in application processing have been made:</w:t>
      </w:r>
    </w:p>
    <w:p w:rsidR="00E270F7" w:rsidRPr="005E2C7F" w:rsidRDefault="00E270F7" w:rsidP="005E2C7F">
      <w:pPr>
        <w:numPr>
          <w:ilvl w:val="1"/>
          <w:numId w:val="17"/>
        </w:numPr>
      </w:pPr>
      <w:r w:rsidRPr="005E2C7F">
        <w:t xml:space="preserve">From </w:t>
      </w:r>
      <w:r w:rsidRPr="005E2C7F">
        <w:rPr>
          <w:b/>
          <w:bCs/>
        </w:rPr>
        <w:t>1 April 2020 – 31 March 2021</w:t>
      </w:r>
      <w:r w:rsidRPr="005E2C7F">
        <w:t xml:space="preserve">, the Scheme delivered </w:t>
      </w:r>
      <w:r w:rsidRPr="005E2C7F">
        <w:rPr>
          <w:b/>
          <w:bCs/>
        </w:rPr>
        <w:t>4,119</w:t>
      </w:r>
      <w:r w:rsidRPr="005E2C7F">
        <w:t xml:space="preserve"> outcomes, giving an average of </w:t>
      </w:r>
      <w:r w:rsidRPr="005E2C7F">
        <w:rPr>
          <w:b/>
          <w:bCs/>
        </w:rPr>
        <w:t xml:space="preserve">343 </w:t>
      </w:r>
      <w:r w:rsidRPr="005E2C7F">
        <w:t>outcomes per month over the period.</w:t>
      </w:r>
    </w:p>
    <w:p w:rsidR="00E270F7" w:rsidRPr="005E2C7F" w:rsidRDefault="00E270F7" w:rsidP="005E2C7F">
      <w:pPr>
        <w:numPr>
          <w:ilvl w:val="1"/>
          <w:numId w:val="17"/>
        </w:numPr>
      </w:pPr>
      <w:r w:rsidRPr="005E2C7F">
        <w:t xml:space="preserve">By comparison, from </w:t>
      </w:r>
      <w:r w:rsidRPr="005E2C7F">
        <w:rPr>
          <w:b/>
          <w:bCs/>
        </w:rPr>
        <w:t xml:space="preserve">1 July 2019 – 30 June 2020, </w:t>
      </w:r>
      <w:r w:rsidRPr="005E2C7F">
        <w:t xml:space="preserve">the Scheme delivered </w:t>
      </w:r>
      <w:r w:rsidRPr="005E2C7F">
        <w:rPr>
          <w:b/>
          <w:bCs/>
        </w:rPr>
        <w:t>3,092</w:t>
      </w:r>
      <w:r w:rsidRPr="005E2C7F">
        <w:t xml:space="preserve"> outcomes, giving an average of </w:t>
      </w:r>
      <w:r w:rsidRPr="005E2C7F">
        <w:rPr>
          <w:b/>
          <w:bCs/>
        </w:rPr>
        <w:t>258</w:t>
      </w:r>
      <w:r w:rsidRPr="005E2C7F">
        <w:t xml:space="preserve"> outcomes per month over the period.</w:t>
      </w:r>
    </w:p>
    <w:p w:rsidR="00E270F7" w:rsidRPr="005E2C7F" w:rsidRDefault="00E270F7" w:rsidP="005E2C7F">
      <w:pPr>
        <w:numPr>
          <w:ilvl w:val="1"/>
          <w:numId w:val="17"/>
        </w:numPr>
      </w:pPr>
      <w:r w:rsidRPr="005E2C7F">
        <w:t xml:space="preserve">From </w:t>
      </w:r>
      <w:r w:rsidRPr="005E2C7F">
        <w:rPr>
          <w:b/>
          <w:bCs/>
        </w:rPr>
        <w:t xml:space="preserve">1 April 2020 – 31 March 2021, </w:t>
      </w:r>
      <w:r w:rsidRPr="005E2C7F">
        <w:t xml:space="preserve">the Scheme finalised a total of </w:t>
      </w:r>
      <w:r w:rsidRPr="005E2C7F">
        <w:rPr>
          <w:b/>
          <w:bCs/>
        </w:rPr>
        <w:t>3,738</w:t>
      </w:r>
      <w:r w:rsidRPr="005E2C7F">
        <w:t xml:space="preserve"> applications, giving an average of </w:t>
      </w:r>
      <w:r w:rsidRPr="005E2C7F">
        <w:rPr>
          <w:b/>
          <w:bCs/>
        </w:rPr>
        <w:t xml:space="preserve">312 </w:t>
      </w:r>
      <w:r w:rsidRPr="005E2C7F">
        <w:t xml:space="preserve">per month over the period. </w:t>
      </w:r>
    </w:p>
    <w:p w:rsidR="005E2C7F" w:rsidRDefault="00E270F7" w:rsidP="002B7344">
      <w:pPr>
        <w:numPr>
          <w:ilvl w:val="1"/>
          <w:numId w:val="17"/>
        </w:numPr>
      </w:pPr>
      <w:r w:rsidRPr="005E2C7F">
        <w:t xml:space="preserve">By comparison, at </w:t>
      </w:r>
      <w:r w:rsidRPr="005E2C7F">
        <w:rPr>
          <w:b/>
          <w:bCs/>
        </w:rPr>
        <w:t xml:space="preserve">30 June 2019 </w:t>
      </w:r>
      <w:r w:rsidRPr="005E2C7F">
        <w:t xml:space="preserve">(after 1 year of operation), the Scheme had finalised a total of </w:t>
      </w:r>
      <w:r w:rsidRPr="005E2C7F">
        <w:rPr>
          <w:b/>
          <w:bCs/>
        </w:rPr>
        <w:t>239</w:t>
      </w:r>
      <w:r w:rsidRPr="005E2C7F">
        <w:t xml:space="preserve"> applications, giving an average of </w:t>
      </w:r>
      <w:r w:rsidRPr="005E2C7F">
        <w:rPr>
          <w:b/>
          <w:bCs/>
        </w:rPr>
        <w:t>20</w:t>
      </w:r>
      <w:r w:rsidRPr="005E2C7F">
        <w:t xml:space="preserve"> per month over the period.</w:t>
      </w:r>
    </w:p>
    <w:p w:rsidR="00967470" w:rsidRDefault="00967470" w:rsidP="00967470">
      <w:pPr>
        <w:ind w:left="1440"/>
      </w:pPr>
    </w:p>
    <w:p w:rsidR="001974AD" w:rsidRPr="001974AD" w:rsidRDefault="0004132B" w:rsidP="001974AD">
      <w:pPr>
        <w:pStyle w:val="Heading2"/>
        <w:spacing w:after="200"/>
      </w:pPr>
      <w:r w:rsidRPr="002B7344">
        <w:t>Priority Area 1:</w:t>
      </w:r>
      <w:r>
        <w:t xml:space="preserve"> </w:t>
      </w:r>
      <w:r w:rsidRPr="002B7344">
        <w:t>Survivor Experience</w:t>
      </w:r>
    </w:p>
    <w:p w:rsidR="005E2C7F" w:rsidRPr="005E2C7F" w:rsidRDefault="005E2C7F" w:rsidP="005E2C7F">
      <w:r w:rsidRPr="005E2C7F">
        <w:t xml:space="preserve">This measures focuses on the time it takes for the Scheme to process an application. </w:t>
      </w:r>
    </w:p>
    <w:p w:rsidR="005E2C7F" w:rsidRPr="005E2C7F" w:rsidRDefault="005E2C7F" w:rsidP="005E2C7F">
      <w:r w:rsidRPr="005E2C7F">
        <w:t>This data relates to data at</w:t>
      </w:r>
      <w:r w:rsidR="00B06BA6">
        <w:t xml:space="preserve"> </w:t>
      </w:r>
      <w:r w:rsidRPr="005E2C7F">
        <w:rPr>
          <w:b/>
          <w:bCs/>
        </w:rPr>
        <w:t>31 March 2021</w:t>
      </w:r>
      <w:r w:rsidR="00B06BA6">
        <w:rPr>
          <w:b/>
          <w:bCs/>
        </w:rPr>
        <w:t xml:space="preserve"> </w:t>
      </w:r>
      <w:r w:rsidRPr="005E2C7F">
        <w:t>for the</w:t>
      </w:r>
      <w:r w:rsidRPr="005E2C7F">
        <w:rPr>
          <w:b/>
          <w:bCs/>
        </w:rPr>
        <w:t xml:space="preserve"> 1,916 </w:t>
      </w:r>
      <w:r w:rsidRPr="005E2C7F">
        <w:t xml:space="preserve">outcomes issued relating to </w:t>
      </w:r>
      <w:r w:rsidRPr="005E2C7F">
        <w:rPr>
          <w:b/>
          <w:bCs/>
        </w:rPr>
        <w:t xml:space="preserve">3,223 </w:t>
      </w:r>
      <w:r w:rsidRPr="005E2C7F">
        <w:t xml:space="preserve">applications received between </w:t>
      </w:r>
      <w:r w:rsidRPr="005E2C7F">
        <w:rPr>
          <w:b/>
          <w:bCs/>
        </w:rPr>
        <w:t xml:space="preserve">1 October 2019 </w:t>
      </w:r>
      <w:r w:rsidR="00B06BA6" w:rsidRPr="00B06BA6">
        <w:rPr>
          <w:bCs/>
        </w:rPr>
        <w:t>and</w:t>
      </w:r>
      <w:r w:rsidRPr="005E2C7F">
        <w:rPr>
          <w:b/>
          <w:bCs/>
        </w:rPr>
        <w:t xml:space="preserve"> 30 September 2020. </w:t>
      </w:r>
    </w:p>
    <w:p w:rsidR="002B7344" w:rsidRPr="001974AD" w:rsidRDefault="002B7344" w:rsidP="0004132B">
      <w:pPr>
        <w:pStyle w:val="Heading3"/>
        <w:rPr>
          <w:sz w:val="24"/>
          <w:szCs w:val="24"/>
        </w:rPr>
      </w:pPr>
      <w:r w:rsidRPr="001974AD">
        <w:rPr>
          <w:sz w:val="24"/>
          <w:szCs w:val="24"/>
        </w:rPr>
        <w:t>1a. Application Timeliness</w:t>
      </w:r>
    </w:p>
    <w:p w:rsidR="00B06BA6" w:rsidRPr="00B06BA6" w:rsidRDefault="00B06BA6" w:rsidP="001974AD">
      <w:pPr>
        <w:pStyle w:val="Heading3"/>
        <w:spacing w:line="276" w:lineRule="auto"/>
        <w:rPr>
          <w:b w:val="0"/>
        </w:rPr>
      </w:pPr>
      <w:r w:rsidRPr="00B06BA6">
        <w:rPr>
          <w:b w:val="0"/>
        </w:rPr>
        <w:t>The data is an improvement on the figures from the Scheme’s first success measures (October 2020) where 10</w:t>
      </w:r>
      <w:r>
        <w:rPr>
          <w:b w:val="0"/>
        </w:rPr>
        <w:t xml:space="preserve"> per cent </w:t>
      </w:r>
      <w:r w:rsidRPr="00B06BA6">
        <w:rPr>
          <w:b w:val="0"/>
        </w:rPr>
        <w:t xml:space="preserve">of outcomes were advised within 6 months of receipt, </w:t>
      </w:r>
      <w:r>
        <w:rPr>
          <w:b w:val="0"/>
        </w:rPr>
        <w:t xml:space="preserve">27 per cent </w:t>
      </w:r>
      <w:r w:rsidRPr="00B06BA6">
        <w:rPr>
          <w:b w:val="0"/>
        </w:rPr>
        <w:t xml:space="preserve">within </w:t>
      </w:r>
      <w:r>
        <w:rPr>
          <w:b w:val="0"/>
        </w:rPr>
        <w:t>9</w:t>
      </w:r>
      <w:r w:rsidRPr="00B06BA6">
        <w:rPr>
          <w:b w:val="0"/>
        </w:rPr>
        <w:t xml:space="preserve"> months of receipt and 46</w:t>
      </w:r>
      <w:r>
        <w:rPr>
          <w:b w:val="0"/>
        </w:rPr>
        <w:t xml:space="preserve"> per cent </w:t>
      </w:r>
      <w:r w:rsidRPr="00B06BA6">
        <w:rPr>
          <w:b w:val="0"/>
        </w:rPr>
        <w:t>within</w:t>
      </w:r>
      <w:r w:rsidR="001974AD">
        <w:rPr>
          <w:b w:val="0"/>
        </w:rPr>
        <w:t xml:space="preserve"> </w:t>
      </w:r>
      <w:r>
        <w:rPr>
          <w:b w:val="0"/>
        </w:rPr>
        <w:t>12</w:t>
      </w:r>
      <w:r w:rsidRPr="00B06BA6">
        <w:rPr>
          <w:b w:val="0"/>
        </w:rPr>
        <w:t xml:space="preserve"> months of receipt. </w:t>
      </w:r>
    </w:p>
    <w:p w:rsidR="001974AD" w:rsidRPr="001974AD" w:rsidRDefault="00B06BA6" w:rsidP="001974AD">
      <w:pPr>
        <w:pStyle w:val="Heading3"/>
        <w:spacing w:line="276" w:lineRule="auto"/>
        <w:rPr>
          <w:b w:val="0"/>
        </w:rPr>
      </w:pPr>
      <w:r w:rsidRPr="00B06BA6">
        <w:rPr>
          <w:b w:val="0"/>
        </w:rPr>
        <w:t xml:space="preserve">Application progression times have benefited from greater resourcing provided by the Australian Government for more Independent Decision Makers, however many applications can still not be finalised within </w:t>
      </w:r>
      <w:r w:rsidR="001974AD">
        <w:rPr>
          <w:b w:val="0"/>
        </w:rPr>
        <w:t>6</w:t>
      </w:r>
      <w:r w:rsidRPr="00B06BA6">
        <w:rPr>
          <w:b w:val="0"/>
        </w:rPr>
        <w:t xml:space="preserve"> months due to delays with organisations, inability to contact applicants or nominees or where the applicant has put the application on hold. </w:t>
      </w:r>
      <w:r w:rsidR="001974AD">
        <w:rPr>
          <w:b w:val="0"/>
        </w:rPr>
        <w:br/>
      </w:r>
    </w:p>
    <w:p w:rsidR="001974AD" w:rsidRPr="001974AD" w:rsidRDefault="001974AD" w:rsidP="001974AD">
      <w:pPr>
        <w:rPr>
          <w:b/>
        </w:rPr>
      </w:pPr>
      <w:r w:rsidRPr="001974AD">
        <w:rPr>
          <w:b/>
        </w:rPr>
        <w:t>Data</w:t>
      </w:r>
      <w:r>
        <w:rPr>
          <w:b/>
        </w:rPr>
        <w:t xml:space="preserve"> from graphic</w:t>
      </w:r>
      <w:r w:rsidRPr="001974AD">
        <w:rPr>
          <w:b/>
        </w:rPr>
        <w:t>:</w:t>
      </w:r>
    </w:p>
    <w:p w:rsidR="001974AD" w:rsidRPr="00D051AB" w:rsidRDefault="001974AD" w:rsidP="00D051AB">
      <w:pPr>
        <w:rPr>
          <w:rFonts w:eastAsiaTheme="majorEastAsia" w:cstheme="majorBidi"/>
          <w:bCs/>
          <w:iCs/>
        </w:rPr>
      </w:pPr>
      <w:r w:rsidRPr="00D051AB">
        <w:rPr>
          <w:rFonts w:eastAsiaTheme="majorEastAsia" w:cstheme="majorBidi"/>
          <w:bCs/>
          <w:iCs/>
        </w:rPr>
        <w:t>61 per cent of outcomes advised within 12 months of application receipt</w:t>
      </w:r>
    </w:p>
    <w:p w:rsidR="001974AD" w:rsidRPr="00D051AB" w:rsidRDefault="001974AD" w:rsidP="00D051AB">
      <w:pPr>
        <w:rPr>
          <w:rFonts w:eastAsiaTheme="majorEastAsia" w:cstheme="majorBidi"/>
          <w:bCs/>
          <w:iCs/>
        </w:rPr>
      </w:pPr>
      <w:r w:rsidRPr="00D051AB">
        <w:rPr>
          <w:rFonts w:eastAsiaTheme="majorEastAsia" w:cstheme="majorBidi"/>
          <w:bCs/>
          <w:iCs/>
        </w:rPr>
        <w:t>47 per cent of outcomes advised within 9 months of application receipt</w:t>
      </w:r>
    </w:p>
    <w:p w:rsidR="001974AD" w:rsidRPr="00D051AB" w:rsidRDefault="001974AD" w:rsidP="00D051AB">
      <w:pPr>
        <w:rPr>
          <w:rFonts w:eastAsiaTheme="majorEastAsia" w:cstheme="majorBidi"/>
          <w:bCs/>
          <w:iCs/>
        </w:rPr>
      </w:pPr>
      <w:r w:rsidRPr="00D051AB">
        <w:rPr>
          <w:rFonts w:eastAsiaTheme="majorEastAsia" w:cstheme="majorBidi"/>
          <w:bCs/>
          <w:iCs/>
        </w:rPr>
        <w:lastRenderedPageBreak/>
        <w:t>21 per cent of outcomes advised within 6 months of application rec</w:t>
      </w:r>
      <w:r w:rsidR="00D051AB" w:rsidRPr="00D051AB">
        <w:rPr>
          <w:rFonts w:eastAsiaTheme="majorEastAsia" w:cstheme="majorBidi"/>
          <w:bCs/>
          <w:iCs/>
        </w:rPr>
        <w:t>e</w:t>
      </w:r>
      <w:r w:rsidRPr="00D051AB">
        <w:rPr>
          <w:rFonts w:eastAsiaTheme="majorEastAsia" w:cstheme="majorBidi"/>
          <w:bCs/>
          <w:iCs/>
        </w:rPr>
        <w:t>ipt</w:t>
      </w:r>
    </w:p>
    <w:p w:rsidR="00D051AB" w:rsidRPr="00967470" w:rsidRDefault="00D051AB" w:rsidP="00D051AB">
      <w:pPr>
        <w:rPr>
          <w:rFonts w:eastAsiaTheme="majorEastAsia" w:cstheme="majorBidi"/>
          <w:bCs/>
          <w:iCs/>
        </w:rPr>
      </w:pPr>
      <w:r w:rsidRPr="00967470">
        <w:rPr>
          <w:rFonts w:eastAsiaTheme="majorEastAsia" w:cstheme="majorBidi"/>
          <w:bCs/>
          <w:iCs/>
        </w:rPr>
        <w:t>Metric: at least 80 per cent of applications that name institutions that participate in the Scheme have a decision communicated to the applicant within six months of being received by the Scheme</w:t>
      </w:r>
    </w:p>
    <w:p w:rsidR="002B7344" w:rsidRPr="002B7344" w:rsidRDefault="002B7344" w:rsidP="002B7344">
      <w:pPr>
        <w:pStyle w:val="Heading3"/>
      </w:pPr>
      <w:r w:rsidRPr="002B7344">
        <w:t>Commentary</w:t>
      </w:r>
    </w:p>
    <w:p w:rsidR="00E270F7" w:rsidRPr="00B06BA6" w:rsidRDefault="00E270F7" w:rsidP="001974AD">
      <w:pPr>
        <w:pStyle w:val="Heading2"/>
        <w:rPr>
          <w:b w:val="0"/>
          <w:iCs/>
          <w:sz w:val="22"/>
          <w:szCs w:val="22"/>
        </w:rPr>
      </w:pPr>
      <w:r w:rsidRPr="00B06BA6">
        <w:rPr>
          <w:b w:val="0"/>
          <w:iCs/>
          <w:sz w:val="22"/>
          <w:szCs w:val="22"/>
        </w:rPr>
        <w:t>Substantial improvements in application processing have been made. From 1 October 2019</w:t>
      </w:r>
      <w:r w:rsidR="001974AD">
        <w:rPr>
          <w:b w:val="0"/>
          <w:iCs/>
          <w:sz w:val="22"/>
          <w:szCs w:val="22"/>
        </w:rPr>
        <w:t xml:space="preserve"> to </w:t>
      </w:r>
      <w:r w:rsidRPr="00B06BA6">
        <w:rPr>
          <w:b w:val="0"/>
          <w:iCs/>
          <w:sz w:val="22"/>
          <w:szCs w:val="22"/>
        </w:rPr>
        <w:t>30 September 2020 the Scheme finalised a total of 3,149 applications, giving an average of 262 per month over the period.</w:t>
      </w:r>
    </w:p>
    <w:p w:rsidR="00E270F7" w:rsidRPr="00B06BA6" w:rsidRDefault="00E270F7" w:rsidP="001974AD">
      <w:pPr>
        <w:pStyle w:val="Heading2"/>
        <w:rPr>
          <w:b w:val="0"/>
          <w:iCs/>
          <w:sz w:val="22"/>
          <w:szCs w:val="22"/>
        </w:rPr>
      </w:pPr>
      <w:r w:rsidRPr="00B06BA6">
        <w:rPr>
          <w:b w:val="0"/>
          <w:iCs/>
          <w:sz w:val="22"/>
          <w:szCs w:val="22"/>
        </w:rPr>
        <w:t>A key focus of the Scheme in its second year of operation was to process the large number of applications received in the first year (</w:t>
      </w:r>
      <w:r w:rsidR="00D051AB">
        <w:rPr>
          <w:b w:val="0"/>
          <w:iCs/>
          <w:sz w:val="22"/>
          <w:szCs w:val="22"/>
        </w:rPr>
        <w:t>that is</w:t>
      </w:r>
      <w:r w:rsidR="001974AD">
        <w:rPr>
          <w:b w:val="0"/>
          <w:iCs/>
          <w:sz w:val="22"/>
          <w:szCs w:val="22"/>
        </w:rPr>
        <w:t>,</w:t>
      </w:r>
      <w:r w:rsidRPr="00B06BA6">
        <w:rPr>
          <w:b w:val="0"/>
          <w:iCs/>
          <w:sz w:val="22"/>
          <w:szCs w:val="22"/>
        </w:rPr>
        <w:t xml:space="preserve"> applications lodged prior to 1 July 2019). </w:t>
      </w:r>
    </w:p>
    <w:p w:rsidR="00E270F7" w:rsidRPr="00B06BA6" w:rsidRDefault="00E270F7" w:rsidP="001974AD">
      <w:pPr>
        <w:pStyle w:val="Heading2"/>
        <w:rPr>
          <w:b w:val="0"/>
          <w:iCs/>
          <w:sz w:val="22"/>
          <w:szCs w:val="22"/>
        </w:rPr>
      </w:pPr>
      <w:r w:rsidRPr="00B06BA6">
        <w:rPr>
          <w:b w:val="0"/>
          <w:iCs/>
          <w:sz w:val="22"/>
          <w:szCs w:val="22"/>
        </w:rPr>
        <w:t>The older applications were prioritised over new applications received during this time, which</w:t>
      </w:r>
      <w:r w:rsidR="00D051AB">
        <w:rPr>
          <w:b w:val="0"/>
          <w:iCs/>
          <w:sz w:val="22"/>
          <w:szCs w:val="22"/>
        </w:rPr>
        <w:t> </w:t>
      </w:r>
      <w:r w:rsidRPr="00B06BA6">
        <w:rPr>
          <w:b w:val="0"/>
          <w:iCs/>
          <w:sz w:val="22"/>
          <w:szCs w:val="22"/>
        </w:rPr>
        <w:t>has contributed to not achieving the target of issuing 80</w:t>
      </w:r>
      <w:r w:rsidR="00B06BA6" w:rsidRPr="00B06BA6">
        <w:rPr>
          <w:b w:val="0"/>
          <w:iCs/>
          <w:sz w:val="22"/>
          <w:szCs w:val="22"/>
        </w:rPr>
        <w:t xml:space="preserve"> per cent </w:t>
      </w:r>
      <w:r w:rsidRPr="00B06BA6">
        <w:rPr>
          <w:b w:val="0"/>
          <w:iCs/>
          <w:sz w:val="22"/>
          <w:szCs w:val="22"/>
        </w:rPr>
        <w:t>of outcomes within 6</w:t>
      </w:r>
      <w:r w:rsidR="00D051AB">
        <w:rPr>
          <w:b w:val="0"/>
          <w:iCs/>
          <w:sz w:val="22"/>
          <w:szCs w:val="22"/>
        </w:rPr>
        <w:t> </w:t>
      </w:r>
      <w:r w:rsidRPr="00B06BA6">
        <w:rPr>
          <w:b w:val="0"/>
          <w:iCs/>
          <w:sz w:val="22"/>
          <w:szCs w:val="22"/>
        </w:rPr>
        <w:t xml:space="preserve">months of receipt. </w:t>
      </w:r>
    </w:p>
    <w:p w:rsidR="00E270F7" w:rsidRPr="00B06BA6" w:rsidRDefault="00E270F7" w:rsidP="001974AD">
      <w:pPr>
        <w:pStyle w:val="Heading2"/>
        <w:rPr>
          <w:b w:val="0"/>
          <w:iCs/>
          <w:sz w:val="22"/>
          <w:szCs w:val="22"/>
        </w:rPr>
      </w:pPr>
      <w:r w:rsidRPr="00B06BA6">
        <w:rPr>
          <w:b w:val="0"/>
          <w:iCs/>
          <w:sz w:val="22"/>
          <w:szCs w:val="22"/>
        </w:rPr>
        <w:t xml:space="preserve">3,089 applications received in the first year have now been finalised. While there is a small residual number of older claims currently being actioned, the department anticipates the timeliness of application processing will continue to improve. </w:t>
      </w:r>
    </w:p>
    <w:p w:rsidR="00E270F7" w:rsidRPr="00B06BA6" w:rsidRDefault="00E270F7" w:rsidP="001974AD">
      <w:pPr>
        <w:pStyle w:val="Heading2"/>
        <w:rPr>
          <w:b w:val="0"/>
          <w:iCs/>
          <w:sz w:val="22"/>
          <w:szCs w:val="22"/>
        </w:rPr>
      </w:pPr>
      <w:r w:rsidRPr="00B06BA6">
        <w:rPr>
          <w:b w:val="0"/>
          <w:iCs/>
          <w:sz w:val="22"/>
          <w:szCs w:val="22"/>
        </w:rPr>
        <w:t>The Scheme was impacted by the COVID-19 pandemic in a number of ways, including telephony disruption, and the time it took institutions to respond to requests for information.</w:t>
      </w:r>
    </w:p>
    <w:p w:rsidR="00967470" w:rsidRDefault="00967470" w:rsidP="0004132B">
      <w:pPr>
        <w:pStyle w:val="Heading2"/>
      </w:pPr>
    </w:p>
    <w:p w:rsidR="0004132B" w:rsidRPr="002B7344" w:rsidRDefault="0004132B" w:rsidP="0004132B">
      <w:pPr>
        <w:pStyle w:val="Heading2"/>
      </w:pPr>
      <w:r w:rsidRPr="002B7344">
        <w:t>Priority Area 1:</w:t>
      </w:r>
      <w:r>
        <w:t xml:space="preserve"> </w:t>
      </w:r>
      <w:r w:rsidRPr="002B7344">
        <w:t xml:space="preserve">Survivor </w:t>
      </w:r>
      <w:r>
        <w:t>Experience</w:t>
      </w:r>
      <w:r w:rsidR="00D051AB">
        <w:t xml:space="preserve"> (continued</w:t>
      </w:r>
      <w:r w:rsidRPr="002B7344">
        <w:t>)</w:t>
      </w:r>
    </w:p>
    <w:p w:rsidR="00D051AB" w:rsidRPr="00D051AB" w:rsidRDefault="00D051AB" w:rsidP="00D051AB">
      <w:pPr>
        <w:pStyle w:val="Heading3"/>
        <w:rPr>
          <w:b w:val="0"/>
        </w:rPr>
      </w:pPr>
      <w:r w:rsidRPr="00D051AB">
        <w:rPr>
          <w:b w:val="0"/>
        </w:rPr>
        <w:t xml:space="preserve">This measures focuses on the time it takes for the Scheme to process an application. </w:t>
      </w:r>
    </w:p>
    <w:p w:rsidR="00D051AB" w:rsidRPr="00D051AB" w:rsidRDefault="00D051AB" w:rsidP="00D051AB">
      <w:pPr>
        <w:pStyle w:val="Heading3"/>
      </w:pPr>
      <w:r w:rsidRPr="00D051AB">
        <w:rPr>
          <w:b w:val="0"/>
        </w:rPr>
        <w:t xml:space="preserve">This data is current as at </w:t>
      </w:r>
      <w:r w:rsidRPr="00D051AB">
        <w:t>31 March 2021</w:t>
      </w:r>
      <w:r w:rsidRPr="00D051AB">
        <w:rPr>
          <w:b w:val="0"/>
        </w:rPr>
        <w:t xml:space="preserve"> for the life of the Scheme.</w:t>
      </w:r>
    </w:p>
    <w:p w:rsidR="00D051AB" w:rsidRPr="00D051AB" w:rsidRDefault="002B7344" w:rsidP="00D051AB">
      <w:pPr>
        <w:pStyle w:val="Heading3"/>
        <w:spacing w:after="120" w:line="276" w:lineRule="auto"/>
        <w:rPr>
          <w:sz w:val="24"/>
          <w:szCs w:val="24"/>
        </w:rPr>
      </w:pPr>
      <w:r w:rsidRPr="00D051AB">
        <w:rPr>
          <w:sz w:val="24"/>
          <w:szCs w:val="24"/>
        </w:rPr>
        <w:t>1b. Application Progress Summary</w:t>
      </w:r>
    </w:p>
    <w:p w:rsidR="00D051AB" w:rsidRDefault="00D051AB" w:rsidP="00D051AB">
      <w:r w:rsidRPr="00D051AB">
        <w:t xml:space="preserve">Each application requires a number of steps to be undertaken prior to an offer being able to be advised. </w:t>
      </w:r>
    </w:p>
    <w:p w:rsidR="00D051AB" w:rsidRDefault="00D051AB" w:rsidP="00D051AB">
      <w:pPr>
        <w:rPr>
          <w:iCs/>
        </w:rPr>
      </w:pPr>
      <w:r w:rsidRPr="00D051AB">
        <w:t xml:space="preserve">These steps include: </w:t>
      </w:r>
      <w:r w:rsidRPr="00D051AB">
        <w:rPr>
          <w:iCs/>
        </w:rPr>
        <w:t xml:space="preserve">Validating application, </w:t>
      </w:r>
      <w:r>
        <w:rPr>
          <w:iCs/>
        </w:rPr>
        <w:t>p</w:t>
      </w:r>
      <w:r w:rsidRPr="00D051AB">
        <w:rPr>
          <w:iCs/>
        </w:rPr>
        <w:t xml:space="preserve">reparing request for information (RFI), </w:t>
      </w:r>
      <w:r>
        <w:rPr>
          <w:iCs/>
        </w:rPr>
        <w:t>w</w:t>
      </w:r>
      <w:r w:rsidRPr="00D051AB">
        <w:rPr>
          <w:iCs/>
        </w:rPr>
        <w:t xml:space="preserve">aiting for RFI response, </w:t>
      </w:r>
      <w:r>
        <w:rPr>
          <w:iCs/>
        </w:rPr>
        <w:t>v</w:t>
      </w:r>
      <w:r w:rsidRPr="00D051AB">
        <w:rPr>
          <w:iCs/>
        </w:rPr>
        <w:t xml:space="preserve">alidate RFI response, </w:t>
      </w:r>
      <w:r>
        <w:rPr>
          <w:iCs/>
        </w:rPr>
        <w:t>f</w:t>
      </w:r>
      <w:r w:rsidRPr="00D051AB">
        <w:rPr>
          <w:iCs/>
        </w:rPr>
        <w:t xml:space="preserve">urther application checks, </w:t>
      </w:r>
      <w:r>
        <w:rPr>
          <w:iCs/>
        </w:rPr>
        <w:t>determination,</w:t>
      </w:r>
      <w:r w:rsidRPr="00D051AB">
        <w:rPr>
          <w:iCs/>
        </w:rPr>
        <w:t xml:space="preserve"> </w:t>
      </w:r>
      <w:r>
        <w:rPr>
          <w:iCs/>
        </w:rPr>
        <w:t>preparation of the offer and a</w:t>
      </w:r>
      <w:r w:rsidRPr="00D051AB">
        <w:rPr>
          <w:iCs/>
        </w:rPr>
        <w:t xml:space="preserve">dvising of offer. </w:t>
      </w:r>
    </w:p>
    <w:p w:rsidR="00D051AB" w:rsidRPr="00D051AB" w:rsidRDefault="00D051AB" w:rsidP="00D051AB">
      <w:r w:rsidRPr="00D051AB">
        <w:t xml:space="preserve">The RFI step includes time with the institution (4 or 8 weeks) and the </w:t>
      </w:r>
      <w:r>
        <w:t>d</w:t>
      </w:r>
      <w:r w:rsidRPr="00D051AB">
        <w:t xml:space="preserve">etermination step includes time for the IDM to make their assessment. </w:t>
      </w:r>
    </w:p>
    <w:p w:rsidR="00D051AB" w:rsidRPr="00D051AB" w:rsidRDefault="00D051AB" w:rsidP="00D051AB">
      <w:r w:rsidRPr="00D051AB">
        <w:t xml:space="preserve">An application will be declared as </w:t>
      </w:r>
      <w:r>
        <w:t>‘in progress’</w:t>
      </w:r>
      <w:r w:rsidRPr="00D051AB">
        <w:t xml:space="preserve"> at all points during these steps, until the application is finalised. </w:t>
      </w:r>
    </w:p>
    <w:p w:rsidR="00D051AB" w:rsidRPr="00D051AB" w:rsidRDefault="00D051AB" w:rsidP="00D051AB">
      <w:r w:rsidRPr="00D051AB">
        <w:t xml:space="preserve">Applications can be on hold for various reasons, for example: there is no participating institution; the Scheme is unable to identify the institution; the applicant has requested to be put on hold; the applicant is not contactable; documents are missing; or the applicant is under 18 years of age. </w:t>
      </w:r>
    </w:p>
    <w:p w:rsidR="00D051AB" w:rsidRPr="00D051AB" w:rsidRDefault="00D051AB" w:rsidP="00D051AB">
      <w:r w:rsidRPr="00D051AB">
        <w:lastRenderedPageBreak/>
        <w:t xml:space="preserve">Applications can also be in progress for a substantial period of time while an applicant determines whether or not they will accept the offer.  This is outside the Scheme’s control. </w:t>
      </w:r>
    </w:p>
    <w:p w:rsidR="00D051AB" w:rsidRDefault="00D051AB" w:rsidP="00D051AB">
      <w:r w:rsidRPr="00D051AB">
        <w:t xml:space="preserve">Redress Support Services are available through all stages of the application to assist applicants and their nominees. </w:t>
      </w:r>
    </w:p>
    <w:p w:rsidR="00D051AB" w:rsidRPr="00D051AB" w:rsidRDefault="00D051AB" w:rsidP="00D051AB">
      <w:r w:rsidRPr="00D051AB">
        <w:rPr>
          <w:b/>
        </w:rPr>
        <w:t xml:space="preserve">Data </w:t>
      </w:r>
      <w:r>
        <w:rPr>
          <w:b/>
        </w:rPr>
        <w:t xml:space="preserve">from </w:t>
      </w:r>
      <w:r w:rsidRPr="00D051AB">
        <w:rPr>
          <w:b/>
        </w:rPr>
        <w:t>graphic</w:t>
      </w:r>
      <w:r>
        <w:t>:</w:t>
      </w:r>
    </w:p>
    <w:p w:rsidR="002B7344" w:rsidRDefault="00D051AB" w:rsidP="00D051AB">
      <w:r>
        <w:t>31</w:t>
      </w:r>
      <w:r w:rsidR="002B7344">
        <w:t xml:space="preserve"> per cent of applications are in progress</w:t>
      </w:r>
      <w:r w:rsidR="004005CE">
        <w:t>.</w:t>
      </w:r>
    </w:p>
    <w:p w:rsidR="002B7344" w:rsidRDefault="00D051AB" w:rsidP="00D051AB">
      <w:r>
        <w:t>60</w:t>
      </w:r>
      <w:r w:rsidR="002B7344">
        <w:t xml:space="preserve"> per cent of applications have had an offer advised to the applicant</w:t>
      </w:r>
      <w:r w:rsidR="004005CE">
        <w:t>.</w:t>
      </w:r>
    </w:p>
    <w:p w:rsidR="002B7344" w:rsidRPr="00D051AB" w:rsidRDefault="00D051AB" w:rsidP="00D051AB">
      <w:pPr>
        <w:rPr>
          <w:i/>
        </w:rPr>
      </w:pPr>
      <w:r>
        <w:t>9</w:t>
      </w:r>
      <w:r w:rsidR="002B7344">
        <w:t xml:space="preserve"> per cent </w:t>
      </w:r>
      <w:r w:rsidR="002B7344" w:rsidRPr="002B7344">
        <w:t>of applications are on hold</w:t>
      </w:r>
      <w:r w:rsidR="00D26BB4" w:rsidRPr="00D051AB">
        <w:rPr>
          <w:i/>
        </w:rPr>
        <w:t>.</w:t>
      </w:r>
    </w:p>
    <w:p w:rsidR="00D26BB4" w:rsidRPr="00967470" w:rsidRDefault="00D26BB4" w:rsidP="002B7344">
      <w:r w:rsidRPr="00967470">
        <w:t>Metric: at least 80 per cent of applications that name institutions that participate in the Scheme have a</w:t>
      </w:r>
      <w:r w:rsidR="0004132B" w:rsidRPr="00967470">
        <w:t xml:space="preserve"> </w:t>
      </w:r>
      <w:r w:rsidRPr="00967470">
        <w:t>decision communicated to the applicant within six months of being received by the Scheme</w:t>
      </w:r>
      <w:r w:rsidR="00D051AB" w:rsidRPr="00967470">
        <w:t>.</w:t>
      </w:r>
    </w:p>
    <w:p w:rsidR="00D051AB" w:rsidRPr="00D051AB" w:rsidRDefault="00D051AB" w:rsidP="00D051AB">
      <w:pPr>
        <w:pStyle w:val="Heading3"/>
        <w:spacing w:after="120" w:line="276" w:lineRule="auto"/>
      </w:pPr>
      <w:r w:rsidRPr="002B7344">
        <w:t>Commentary</w:t>
      </w:r>
    </w:p>
    <w:p w:rsidR="00D051AB" w:rsidRPr="00D051AB" w:rsidRDefault="00D051AB" w:rsidP="00D051AB">
      <w:pPr>
        <w:rPr>
          <w:rFonts w:eastAsiaTheme="majorEastAsia" w:cstheme="majorBidi"/>
          <w:bCs/>
          <w:iCs/>
        </w:rPr>
      </w:pPr>
      <w:r w:rsidRPr="00D051AB">
        <w:rPr>
          <w:rFonts w:eastAsiaTheme="majorEastAsia" w:cstheme="majorBidi"/>
          <w:bCs/>
          <w:iCs/>
        </w:rPr>
        <w:t xml:space="preserve">This data represents significant improvement in application progression compared to the </w:t>
      </w:r>
      <w:r w:rsidRPr="00D051AB">
        <w:rPr>
          <w:rFonts w:eastAsiaTheme="majorEastAsia" w:cstheme="majorBidi"/>
          <w:b/>
          <w:bCs/>
          <w:iCs/>
        </w:rPr>
        <w:t>October 2020</w:t>
      </w:r>
      <w:r w:rsidRPr="00D051AB">
        <w:rPr>
          <w:rFonts w:eastAsiaTheme="majorEastAsia" w:cstheme="majorBidi"/>
          <w:bCs/>
          <w:iCs/>
        </w:rPr>
        <w:t xml:space="preserve"> report.</w:t>
      </w:r>
    </w:p>
    <w:p w:rsidR="00D051AB" w:rsidRPr="00D051AB" w:rsidRDefault="00D051AB" w:rsidP="00D051AB">
      <w:pPr>
        <w:rPr>
          <w:rFonts w:eastAsiaTheme="majorEastAsia" w:cstheme="majorBidi"/>
          <w:bCs/>
          <w:iCs/>
        </w:rPr>
      </w:pPr>
      <w:r w:rsidRPr="00D051AB">
        <w:rPr>
          <w:rFonts w:eastAsiaTheme="majorEastAsia" w:cstheme="majorBidi"/>
          <w:b/>
          <w:bCs/>
          <w:iCs/>
        </w:rPr>
        <w:t>31</w:t>
      </w:r>
      <w:r>
        <w:rPr>
          <w:rFonts w:eastAsiaTheme="majorEastAsia" w:cstheme="majorBidi"/>
          <w:b/>
          <w:bCs/>
          <w:iCs/>
        </w:rPr>
        <w:t xml:space="preserve"> per cent</w:t>
      </w:r>
      <w:r w:rsidRPr="00D051AB">
        <w:rPr>
          <w:rFonts w:eastAsiaTheme="majorEastAsia" w:cstheme="majorBidi"/>
          <w:b/>
          <w:bCs/>
          <w:iCs/>
        </w:rPr>
        <w:t xml:space="preserve"> </w:t>
      </w:r>
      <w:r w:rsidRPr="00D051AB">
        <w:rPr>
          <w:rFonts w:eastAsiaTheme="majorEastAsia" w:cstheme="majorBidi"/>
          <w:bCs/>
          <w:iCs/>
        </w:rPr>
        <w:t xml:space="preserve">of applications are in progress, compared with </w:t>
      </w:r>
      <w:r w:rsidRPr="00D051AB">
        <w:rPr>
          <w:rFonts w:eastAsiaTheme="majorEastAsia" w:cstheme="majorBidi"/>
          <w:b/>
          <w:bCs/>
          <w:iCs/>
        </w:rPr>
        <w:t>47</w:t>
      </w:r>
      <w:r>
        <w:rPr>
          <w:rFonts w:eastAsiaTheme="majorEastAsia" w:cstheme="majorBidi"/>
          <w:b/>
          <w:bCs/>
          <w:iCs/>
        </w:rPr>
        <w:t xml:space="preserve"> percent</w:t>
      </w:r>
      <w:r w:rsidRPr="00D051AB">
        <w:rPr>
          <w:rFonts w:eastAsiaTheme="majorEastAsia" w:cstheme="majorBidi"/>
          <w:bCs/>
          <w:iCs/>
        </w:rPr>
        <w:t>. This correlates with the increased efforts of the Scheme to finalise the legacy cases.</w:t>
      </w:r>
    </w:p>
    <w:p w:rsidR="00D051AB" w:rsidRPr="00D051AB" w:rsidRDefault="00D051AB" w:rsidP="00D051AB">
      <w:pPr>
        <w:rPr>
          <w:rFonts w:eastAsiaTheme="majorEastAsia" w:cstheme="majorBidi"/>
          <w:bCs/>
          <w:iCs/>
        </w:rPr>
      </w:pPr>
      <w:r w:rsidRPr="00D051AB">
        <w:rPr>
          <w:rFonts w:eastAsiaTheme="majorEastAsia" w:cstheme="majorBidi"/>
          <w:b/>
          <w:bCs/>
          <w:iCs/>
        </w:rPr>
        <w:t>60</w:t>
      </w:r>
      <w:r>
        <w:rPr>
          <w:rFonts w:eastAsiaTheme="majorEastAsia" w:cstheme="majorBidi"/>
          <w:b/>
          <w:bCs/>
          <w:iCs/>
        </w:rPr>
        <w:t xml:space="preserve"> per cent</w:t>
      </w:r>
      <w:r w:rsidRPr="00D051AB">
        <w:rPr>
          <w:rFonts w:eastAsiaTheme="majorEastAsia" w:cstheme="majorBidi"/>
          <w:bCs/>
          <w:iCs/>
        </w:rPr>
        <w:t xml:space="preserve"> of all applicants have had their offer advised, compared with </w:t>
      </w:r>
      <w:r w:rsidR="00960C2F">
        <w:rPr>
          <w:rFonts w:eastAsiaTheme="majorEastAsia" w:cstheme="majorBidi"/>
          <w:b/>
          <w:bCs/>
          <w:iCs/>
        </w:rPr>
        <w:t>42 per cent</w:t>
      </w:r>
      <w:r w:rsidRPr="00D051AB">
        <w:rPr>
          <w:rFonts w:eastAsiaTheme="majorEastAsia" w:cstheme="majorBidi"/>
          <w:bCs/>
          <w:iCs/>
        </w:rPr>
        <w:t xml:space="preserve">. </w:t>
      </w:r>
    </w:p>
    <w:p w:rsidR="00D051AB" w:rsidRPr="00D051AB" w:rsidRDefault="00D051AB" w:rsidP="00D051AB">
      <w:pPr>
        <w:rPr>
          <w:rFonts w:eastAsiaTheme="majorEastAsia" w:cstheme="majorBidi"/>
          <w:bCs/>
          <w:iCs/>
        </w:rPr>
      </w:pPr>
      <w:r w:rsidRPr="00D051AB">
        <w:rPr>
          <w:rFonts w:eastAsiaTheme="majorEastAsia" w:cstheme="majorBidi"/>
          <w:bCs/>
          <w:iCs/>
        </w:rPr>
        <w:t xml:space="preserve">The Scheme has fewer applications on hold – </w:t>
      </w:r>
      <w:r w:rsidRPr="00D051AB">
        <w:rPr>
          <w:rFonts w:eastAsiaTheme="majorEastAsia" w:cstheme="majorBidi"/>
          <w:b/>
          <w:bCs/>
          <w:iCs/>
        </w:rPr>
        <w:t>9</w:t>
      </w:r>
      <w:r>
        <w:rPr>
          <w:rFonts w:eastAsiaTheme="majorEastAsia" w:cstheme="majorBidi"/>
          <w:b/>
          <w:bCs/>
          <w:iCs/>
        </w:rPr>
        <w:t xml:space="preserve"> per cent</w:t>
      </w:r>
      <w:r w:rsidRPr="00D051AB">
        <w:rPr>
          <w:rFonts w:eastAsiaTheme="majorEastAsia" w:cstheme="majorBidi"/>
          <w:b/>
          <w:bCs/>
          <w:iCs/>
        </w:rPr>
        <w:t xml:space="preserve"> </w:t>
      </w:r>
      <w:r w:rsidRPr="00D051AB">
        <w:rPr>
          <w:rFonts w:eastAsiaTheme="majorEastAsia" w:cstheme="majorBidi"/>
          <w:bCs/>
          <w:iCs/>
        </w:rPr>
        <w:t xml:space="preserve">compared to </w:t>
      </w:r>
      <w:r w:rsidRPr="00D051AB">
        <w:rPr>
          <w:rFonts w:eastAsiaTheme="majorEastAsia" w:cstheme="majorBidi"/>
          <w:b/>
          <w:bCs/>
          <w:iCs/>
        </w:rPr>
        <w:t>11</w:t>
      </w:r>
      <w:r w:rsidR="00960C2F">
        <w:rPr>
          <w:rFonts w:eastAsiaTheme="majorEastAsia" w:cstheme="majorBidi"/>
          <w:b/>
          <w:bCs/>
          <w:iCs/>
        </w:rPr>
        <w:t xml:space="preserve"> per cent</w:t>
      </w:r>
      <w:r w:rsidRPr="00D051AB">
        <w:rPr>
          <w:rFonts w:eastAsiaTheme="majorEastAsia" w:cstheme="majorBidi"/>
          <w:bCs/>
          <w:iCs/>
        </w:rPr>
        <w:t xml:space="preserve">. </w:t>
      </w:r>
    </w:p>
    <w:p w:rsidR="00967470" w:rsidRDefault="00967470" w:rsidP="0004132B">
      <w:pPr>
        <w:pStyle w:val="Heading2"/>
      </w:pPr>
    </w:p>
    <w:p w:rsidR="0004132B" w:rsidRDefault="0004132B" w:rsidP="0004132B">
      <w:pPr>
        <w:pStyle w:val="Heading2"/>
      </w:pPr>
      <w:r w:rsidRPr="00D26BB4">
        <w:t>Priority Area 1:</w:t>
      </w:r>
      <w:r>
        <w:t xml:space="preserve"> </w:t>
      </w:r>
      <w:r w:rsidRPr="00D26BB4">
        <w:t>Survivor Experience</w:t>
      </w:r>
      <w:r>
        <w:t xml:space="preserve"> </w:t>
      </w:r>
      <w:r w:rsidRPr="00D26BB4">
        <w:t>(cont</w:t>
      </w:r>
      <w:r w:rsidR="00960C2F">
        <w:t>inued</w:t>
      </w:r>
      <w:r w:rsidRPr="00D26BB4">
        <w:t>)</w:t>
      </w:r>
    </w:p>
    <w:p w:rsidR="00D26BB4" w:rsidRPr="00960C2F" w:rsidRDefault="00D26BB4" w:rsidP="00960C2F">
      <w:pPr>
        <w:pStyle w:val="Heading3"/>
        <w:spacing w:after="120"/>
        <w:rPr>
          <w:sz w:val="24"/>
          <w:szCs w:val="24"/>
        </w:rPr>
      </w:pPr>
      <w:r w:rsidRPr="00960C2F">
        <w:rPr>
          <w:sz w:val="24"/>
          <w:szCs w:val="24"/>
        </w:rPr>
        <w:t>1c. Survivor Journey</w:t>
      </w:r>
    </w:p>
    <w:p w:rsidR="00960C2F" w:rsidRPr="00960C2F" w:rsidRDefault="00960C2F" w:rsidP="00960C2F">
      <w:r w:rsidRPr="00960C2F">
        <w:t xml:space="preserve">Survivors are central to the Scheme and all decision making around its improvements. </w:t>
      </w:r>
    </w:p>
    <w:p w:rsidR="00960C2F" w:rsidRPr="00960C2F" w:rsidRDefault="00960C2F" w:rsidP="00960C2F">
      <w:r w:rsidRPr="00960C2F">
        <w:t xml:space="preserve">The trauma experienced by survivors must be recognised. </w:t>
      </w:r>
    </w:p>
    <w:p w:rsidR="00960C2F" w:rsidRPr="00960C2F" w:rsidRDefault="00960C2F" w:rsidP="00960C2F">
      <w:r w:rsidRPr="00960C2F">
        <w:t xml:space="preserve">In the second half of 2020, the department engaged </w:t>
      </w:r>
      <w:r w:rsidRPr="00960C2F">
        <w:rPr>
          <w:i/>
          <w:iCs/>
        </w:rPr>
        <w:t xml:space="preserve">Whereto Research </w:t>
      </w:r>
      <w:r w:rsidRPr="00960C2F">
        <w:t xml:space="preserve">to consult with appropriate stakeholders and develop a survey to report on the survivor journey. The department and </w:t>
      </w:r>
      <w:r w:rsidRPr="00960C2F">
        <w:rPr>
          <w:i/>
          <w:iCs/>
        </w:rPr>
        <w:t xml:space="preserve">Whereto Research </w:t>
      </w:r>
      <w:r w:rsidRPr="00960C2F">
        <w:t xml:space="preserve">developed and tested a survey approach/instrument to ensure it is trauma informed, safe and respectful for survivors. </w:t>
      </w:r>
    </w:p>
    <w:p w:rsidR="00960C2F" w:rsidRPr="00960C2F" w:rsidRDefault="00960C2F" w:rsidP="00960C2F">
      <w:r w:rsidRPr="00960C2F">
        <w:t xml:space="preserve">The redress survivors survey, part of the measure for the survivor journey, was conducted in March 2021. The survey has seen low uptake among survivors, and as a result there are not enough responses to the survey to be statistically valid. </w:t>
      </w:r>
    </w:p>
    <w:p w:rsidR="00960C2F" w:rsidRPr="00960C2F" w:rsidRDefault="00960C2F" w:rsidP="00960C2F">
      <w:r w:rsidRPr="00960C2F">
        <w:t>To address the low participation in the survey, the Scheme has amended the acceptance documents inviting survivors to opt-in to the survivor survey. The survey will be more accessible, better communicated and promoted. The Scheme believes this will increase uptake for the new survey.</w:t>
      </w:r>
    </w:p>
    <w:p w:rsidR="00960C2F" w:rsidRPr="00960C2F" w:rsidRDefault="00960C2F" w:rsidP="00960C2F">
      <w:r w:rsidRPr="00960C2F">
        <w:lastRenderedPageBreak/>
        <w:t xml:space="preserve">Outside the survivor journey survey, the Scheme continues to gather feedback from survivors, nominees and support services as to how the Scheme is operating, and will continue to do so. </w:t>
      </w:r>
    </w:p>
    <w:p w:rsidR="00D26BB4" w:rsidRPr="00960C2F" w:rsidRDefault="00D26BB4" w:rsidP="00960C2F">
      <w:r w:rsidRPr="00960C2F">
        <w:t>Metric: Survivor experience with the process of the Scheme, including Scheme responsiveness, degree of respectful,</w:t>
      </w:r>
      <w:r w:rsidR="0004132B" w:rsidRPr="00960C2F">
        <w:t xml:space="preserve"> </w:t>
      </w:r>
      <w:r w:rsidRPr="00960C2F">
        <w:t>dignified, knowledgeable and trauma-informed interactions, ease of understanding, level of proactivity, consistency of</w:t>
      </w:r>
      <w:r w:rsidR="0004132B" w:rsidRPr="00960C2F">
        <w:t xml:space="preserve"> </w:t>
      </w:r>
      <w:r w:rsidRPr="00960C2F">
        <w:t>service quality.</w:t>
      </w:r>
    </w:p>
    <w:p w:rsidR="00967470" w:rsidRDefault="00967470" w:rsidP="0004132B">
      <w:pPr>
        <w:pStyle w:val="Heading2"/>
      </w:pPr>
    </w:p>
    <w:p w:rsidR="0004132B" w:rsidRDefault="0004132B" w:rsidP="00967470">
      <w:pPr>
        <w:pStyle w:val="Heading2"/>
        <w:spacing w:after="120"/>
      </w:pPr>
      <w:r w:rsidRPr="00D26BB4">
        <w:t>Priority Area 2:</w:t>
      </w:r>
      <w:r>
        <w:t xml:space="preserve"> </w:t>
      </w:r>
      <w:r w:rsidRPr="00D26BB4">
        <w:t>Health of the Scheme</w:t>
      </w:r>
    </w:p>
    <w:p w:rsidR="00C7209B" w:rsidRPr="00C7209B" w:rsidRDefault="00C7209B" w:rsidP="00C7209B">
      <w:r w:rsidRPr="00C7209B">
        <w:t>This measure provides an insight into the overall performance of the Scheme, particularly in regard to the participation of institutions.</w:t>
      </w:r>
    </w:p>
    <w:p w:rsidR="00C7209B" w:rsidRDefault="00C7209B" w:rsidP="00C7209B">
      <w:r w:rsidRPr="00C7209B">
        <w:t xml:space="preserve">This data is current as at </w:t>
      </w:r>
      <w:r w:rsidRPr="00C7209B">
        <w:rPr>
          <w:b/>
          <w:bCs/>
        </w:rPr>
        <w:t>31 March 2021</w:t>
      </w:r>
      <w:r w:rsidRPr="00C7209B">
        <w:t>for the life of the Scheme</w:t>
      </w:r>
    </w:p>
    <w:p w:rsidR="00C7209B" w:rsidRPr="00C7209B" w:rsidRDefault="00C7209B" w:rsidP="00C7209B">
      <w:pPr>
        <w:pStyle w:val="Heading3"/>
        <w:spacing w:after="120"/>
        <w:rPr>
          <w:sz w:val="24"/>
          <w:szCs w:val="24"/>
        </w:rPr>
      </w:pPr>
      <w:r>
        <w:rPr>
          <w:sz w:val="24"/>
          <w:szCs w:val="24"/>
        </w:rPr>
        <w:t>2a</w:t>
      </w:r>
      <w:r w:rsidRPr="00960C2F">
        <w:rPr>
          <w:sz w:val="24"/>
          <w:szCs w:val="24"/>
        </w:rPr>
        <w:t>. S</w:t>
      </w:r>
      <w:r>
        <w:rPr>
          <w:sz w:val="24"/>
          <w:szCs w:val="24"/>
        </w:rPr>
        <w:t>urvivor Acceptance</w:t>
      </w:r>
    </w:p>
    <w:p w:rsidR="00960C2F" w:rsidRPr="00960C2F" w:rsidRDefault="00960C2F" w:rsidP="00960C2F">
      <w:pPr>
        <w:pStyle w:val="Heading3"/>
        <w:spacing w:line="276" w:lineRule="auto"/>
        <w:rPr>
          <w:b w:val="0"/>
        </w:rPr>
      </w:pPr>
      <w:r w:rsidRPr="00960C2F">
        <w:rPr>
          <w:b w:val="0"/>
        </w:rPr>
        <w:t xml:space="preserve">If the Scheme approves a person’s application for redress, the Scheme must do so in a written form that explains the three components of redress (redress payment, access to counselling, and direct personal response), the amount of offer, the date of the offer, the acceptance period and informs the applicant that they do not need to accept the offer, but that it will be taken to be declined at the end of the acceptance period. </w:t>
      </w:r>
    </w:p>
    <w:p w:rsidR="00960C2F" w:rsidRPr="00960C2F" w:rsidRDefault="00960C2F" w:rsidP="00960C2F">
      <w:pPr>
        <w:pStyle w:val="Heading3"/>
        <w:spacing w:line="276" w:lineRule="auto"/>
        <w:rPr>
          <w:b w:val="0"/>
        </w:rPr>
      </w:pPr>
      <w:r w:rsidRPr="00960C2F">
        <w:rPr>
          <w:b w:val="0"/>
        </w:rPr>
        <w:t xml:space="preserve">The acceptance period for the redress offer is 6 months, however this can be extended in circumstances. </w:t>
      </w:r>
    </w:p>
    <w:p w:rsidR="00960C2F" w:rsidRPr="00960C2F" w:rsidRDefault="00960C2F" w:rsidP="00960C2F">
      <w:pPr>
        <w:pStyle w:val="Heading3"/>
        <w:spacing w:line="276" w:lineRule="auto"/>
        <w:rPr>
          <w:b w:val="0"/>
        </w:rPr>
      </w:pPr>
      <w:r w:rsidRPr="00960C2F">
        <w:rPr>
          <w:b w:val="0"/>
        </w:rPr>
        <w:t>While an applicant can access support services during the 6 month acceptance period, the Scheme as a whole is not involved in the decision making process.</w:t>
      </w:r>
    </w:p>
    <w:p w:rsidR="00967470" w:rsidRPr="00967470" w:rsidRDefault="00960C2F" w:rsidP="00967470">
      <w:pPr>
        <w:pStyle w:val="Heading3"/>
        <w:spacing w:line="276" w:lineRule="auto"/>
        <w:rPr>
          <w:b w:val="0"/>
        </w:rPr>
      </w:pPr>
      <w:r w:rsidRPr="00960C2F">
        <w:rPr>
          <w:b w:val="0"/>
        </w:rPr>
        <w:t>Detailed in the data below, 88</w:t>
      </w:r>
      <w:r w:rsidR="00B33C4D">
        <w:rPr>
          <w:b w:val="0"/>
        </w:rPr>
        <w:t xml:space="preserve"> per cent</w:t>
      </w:r>
      <w:r w:rsidRPr="00960C2F">
        <w:rPr>
          <w:b w:val="0"/>
        </w:rPr>
        <w:t xml:space="preserve"> of offers were accepted by applicants in the reporting period, however approximately 12</w:t>
      </w:r>
      <w:r w:rsidR="00B33C4D">
        <w:rPr>
          <w:b w:val="0"/>
        </w:rPr>
        <w:t xml:space="preserve"> per cent</w:t>
      </w:r>
      <w:r w:rsidRPr="00960C2F">
        <w:rPr>
          <w:b w:val="0"/>
        </w:rPr>
        <w:t xml:space="preserve"> of offers have not yet been responded to by applicants. This means these applicants are yet to make a decision on whether to accept, decline, seek a review or request an extension to consider the offer. </w:t>
      </w:r>
      <w:r w:rsidR="00967470">
        <w:rPr>
          <w:b w:val="0"/>
        </w:rPr>
        <w:br/>
      </w:r>
    </w:p>
    <w:p w:rsidR="00B33C4D" w:rsidRDefault="00B33C4D" w:rsidP="00B33C4D">
      <w:r w:rsidRPr="00C7209B">
        <w:rPr>
          <w:b/>
        </w:rPr>
        <w:t>Data from graphic</w:t>
      </w:r>
      <w:r>
        <w:t>:</w:t>
      </w:r>
    </w:p>
    <w:p w:rsidR="00B33C4D" w:rsidRDefault="00B33C4D" w:rsidP="00B33C4D">
      <w:r>
        <w:t>88 per cent of applicants accepted their offer of redress</w:t>
      </w:r>
    </w:p>
    <w:p w:rsidR="00B33C4D" w:rsidRDefault="00B33C4D" w:rsidP="00B33C4D">
      <w:r>
        <w:t xml:space="preserve">60 per cent of applicants accepted an offer of Counselling and Psychological Care </w:t>
      </w:r>
    </w:p>
    <w:p w:rsidR="00B33C4D" w:rsidRDefault="00B33C4D" w:rsidP="00B33C4D">
      <w:r>
        <w:t>49 per cent of applicants requested a Direct Personal Response</w:t>
      </w:r>
      <w:r w:rsidR="00C7209B">
        <w:t xml:space="preserve"> (DPR)</w:t>
      </w:r>
      <w:r>
        <w:t xml:space="preserve"> from a</w:t>
      </w:r>
      <w:r w:rsidR="00C7209B">
        <w:t>n</w:t>
      </w:r>
      <w:r>
        <w:t xml:space="preserve"> institution</w:t>
      </w:r>
    </w:p>
    <w:p w:rsidR="00B33C4D" w:rsidRDefault="00B33C4D" w:rsidP="00B33C4D">
      <w:r>
        <w:t>Less than one per cent of applicants declined their offer of redress</w:t>
      </w:r>
    </w:p>
    <w:p w:rsidR="00C7209B" w:rsidRPr="00C7209B" w:rsidRDefault="00C7209B" w:rsidP="00C7209B">
      <w:r w:rsidRPr="00C7209B">
        <w:rPr>
          <w:iCs/>
        </w:rPr>
        <w:t>Metric: The percentage of redress offers accepted by survivors across redress payments, DPR and counselling</w:t>
      </w:r>
    </w:p>
    <w:p w:rsidR="00B33C4D" w:rsidRPr="00B33C4D" w:rsidRDefault="00B33C4D" w:rsidP="00B33C4D">
      <w:r w:rsidRPr="00B33C4D">
        <w:rPr>
          <w:b/>
          <w:bCs/>
        </w:rPr>
        <w:t>Commentary</w:t>
      </w:r>
    </w:p>
    <w:p w:rsidR="00B33C4D" w:rsidRPr="00B33C4D" w:rsidRDefault="00B33C4D" w:rsidP="00C7209B">
      <w:r w:rsidRPr="00B33C4D">
        <w:t xml:space="preserve">This data represents significant improvements from the </w:t>
      </w:r>
      <w:r w:rsidRPr="00B33C4D">
        <w:rPr>
          <w:b/>
          <w:bCs/>
        </w:rPr>
        <w:t>October 2020</w:t>
      </w:r>
      <w:r w:rsidRPr="00B33C4D">
        <w:t xml:space="preserve"> report: more applicants are accepting their redress offers (</w:t>
      </w:r>
      <w:r w:rsidRPr="00B33C4D">
        <w:rPr>
          <w:b/>
          <w:bCs/>
        </w:rPr>
        <w:t>88</w:t>
      </w:r>
      <w:r w:rsidR="00C7209B">
        <w:rPr>
          <w:b/>
          <w:bCs/>
        </w:rPr>
        <w:t xml:space="preserve"> per cent</w:t>
      </w:r>
      <w:r w:rsidRPr="00B33C4D">
        <w:t xml:space="preserve"> compared to </w:t>
      </w:r>
      <w:r w:rsidRPr="00B33C4D">
        <w:rPr>
          <w:b/>
          <w:bCs/>
        </w:rPr>
        <w:t>77</w:t>
      </w:r>
      <w:r w:rsidR="00C7209B">
        <w:rPr>
          <w:b/>
          <w:bCs/>
        </w:rPr>
        <w:t xml:space="preserve"> per cent</w:t>
      </w:r>
      <w:r w:rsidRPr="00B33C4D">
        <w:t xml:space="preserve">); more </w:t>
      </w:r>
      <w:r w:rsidRPr="00B33C4D">
        <w:lastRenderedPageBreak/>
        <w:t>applicants are accepting their Counselling and Psychological Care offer (</w:t>
      </w:r>
      <w:r w:rsidRPr="00B33C4D">
        <w:rPr>
          <w:b/>
          <w:bCs/>
        </w:rPr>
        <w:t>60</w:t>
      </w:r>
      <w:r w:rsidR="00C7209B">
        <w:rPr>
          <w:b/>
          <w:bCs/>
        </w:rPr>
        <w:t xml:space="preserve"> per cent</w:t>
      </w:r>
      <w:r w:rsidRPr="00B33C4D">
        <w:t xml:space="preserve"> compared to </w:t>
      </w:r>
      <w:r w:rsidRPr="00B33C4D">
        <w:rPr>
          <w:b/>
          <w:bCs/>
        </w:rPr>
        <w:t>54</w:t>
      </w:r>
      <w:r w:rsidR="00C7209B">
        <w:rPr>
          <w:b/>
          <w:bCs/>
        </w:rPr>
        <w:t xml:space="preserve"> per cent</w:t>
      </w:r>
      <w:r w:rsidRPr="00B33C4D">
        <w:t>); and more applicants are requesting a Direct Personal Response (</w:t>
      </w:r>
      <w:r w:rsidRPr="00B33C4D">
        <w:rPr>
          <w:b/>
          <w:bCs/>
        </w:rPr>
        <w:t>49</w:t>
      </w:r>
      <w:r w:rsidR="00C7209B">
        <w:rPr>
          <w:b/>
          <w:bCs/>
        </w:rPr>
        <w:t xml:space="preserve"> per cent</w:t>
      </w:r>
      <w:r w:rsidRPr="00B33C4D">
        <w:t xml:space="preserve"> compared to </w:t>
      </w:r>
      <w:r w:rsidRPr="00B33C4D">
        <w:rPr>
          <w:b/>
          <w:bCs/>
        </w:rPr>
        <w:t>45</w:t>
      </w:r>
      <w:r w:rsidR="00C7209B">
        <w:rPr>
          <w:b/>
          <w:bCs/>
        </w:rPr>
        <w:t xml:space="preserve"> per cent</w:t>
      </w:r>
      <w:r w:rsidRPr="00B33C4D">
        <w:t>).</w:t>
      </w:r>
    </w:p>
    <w:p w:rsidR="00B33C4D" w:rsidRPr="00B33C4D" w:rsidRDefault="00B33C4D" w:rsidP="00B33C4D"/>
    <w:p w:rsidR="0004132B" w:rsidRDefault="0004132B" w:rsidP="0004132B">
      <w:pPr>
        <w:pStyle w:val="Heading2"/>
      </w:pPr>
      <w:r w:rsidRPr="00D26BB4">
        <w:t>Priority Area 2:</w:t>
      </w:r>
      <w:r>
        <w:t xml:space="preserve"> </w:t>
      </w:r>
      <w:r w:rsidRPr="00D26BB4">
        <w:t>Health of the Scheme</w:t>
      </w:r>
      <w:r>
        <w:t xml:space="preserve"> </w:t>
      </w:r>
      <w:r w:rsidRPr="00D26BB4">
        <w:t>(cont</w:t>
      </w:r>
      <w:r w:rsidR="00C7209B">
        <w:t>inued</w:t>
      </w:r>
      <w:r w:rsidRPr="00D26BB4">
        <w:t>)</w:t>
      </w:r>
    </w:p>
    <w:p w:rsidR="00C7209B" w:rsidRPr="00C7209B" w:rsidRDefault="00C7209B" w:rsidP="00C7209B">
      <w:pPr>
        <w:pStyle w:val="Heading3"/>
        <w:rPr>
          <w:b w:val="0"/>
        </w:rPr>
      </w:pPr>
      <w:r w:rsidRPr="00C7209B">
        <w:rPr>
          <w:b w:val="0"/>
        </w:rPr>
        <w:t>This measure provides an insight into the overall performance of the Scheme, particularly in regard to the participation of institutions.</w:t>
      </w:r>
    </w:p>
    <w:p w:rsidR="00C7209B" w:rsidRPr="00C7209B" w:rsidRDefault="00C7209B" w:rsidP="00C7209B">
      <w:pPr>
        <w:pStyle w:val="Heading3"/>
        <w:rPr>
          <w:b w:val="0"/>
        </w:rPr>
      </w:pPr>
      <w:r w:rsidRPr="00C7209B">
        <w:rPr>
          <w:b w:val="0"/>
        </w:rPr>
        <w:t>This data is current as at 31 March 2021 for the life of the Scheme.</w:t>
      </w:r>
    </w:p>
    <w:p w:rsidR="00D26BB4" w:rsidRPr="00C7209B" w:rsidRDefault="00D26BB4" w:rsidP="00C7209B">
      <w:pPr>
        <w:pStyle w:val="Heading3"/>
        <w:spacing w:after="120"/>
        <w:rPr>
          <w:sz w:val="24"/>
          <w:szCs w:val="24"/>
        </w:rPr>
      </w:pPr>
      <w:r w:rsidRPr="00C7209B">
        <w:rPr>
          <w:sz w:val="24"/>
          <w:szCs w:val="24"/>
        </w:rPr>
        <w:t>2b. Maintain</w:t>
      </w:r>
      <w:r w:rsidR="00C7209B" w:rsidRPr="00C7209B">
        <w:rPr>
          <w:sz w:val="24"/>
          <w:szCs w:val="24"/>
        </w:rPr>
        <w:t>ing</w:t>
      </w:r>
      <w:r w:rsidRPr="00C7209B">
        <w:rPr>
          <w:sz w:val="24"/>
          <w:szCs w:val="24"/>
        </w:rPr>
        <w:t xml:space="preserve"> Institutional Participation</w:t>
      </w:r>
    </w:p>
    <w:p w:rsidR="00C7209B" w:rsidRPr="00C7209B" w:rsidRDefault="00C7209B" w:rsidP="00C7209B">
      <w:r w:rsidRPr="00C7209B">
        <w:t xml:space="preserve">As at </w:t>
      </w:r>
      <w:r w:rsidRPr="00C7209B">
        <w:rPr>
          <w:b/>
          <w:bCs/>
        </w:rPr>
        <w:t>31 March 2021</w:t>
      </w:r>
      <w:r w:rsidRPr="00C7209B">
        <w:t xml:space="preserve">, the Commonwealth, all state and territory governments and </w:t>
      </w:r>
      <w:r w:rsidRPr="00C7209B">
        <w:rPr>
          <w:b/>
          <w:bCs/>
        </w:rPr>
        <w:t>459</w:t>
      </w:r>
      <w:r w:rsidR="00967470">
        <w:t xml:space="preserve"> non</w:t>
      </w:r>
      <w:r w:rsidR="00967470">
        <w:noBreakHyphen/>
      </w:r>
      <w:r w:rsidRPr="00C7209B">
        <w:t xml:space="preserve">government institutions are participating in the Scheme, covering more than </w:t>
      </w:r>
      <w:r w:rsidRPr="00C7209B">
        <w:rPr>
          <w:b/>
          <w:bCs/>
        </w:rPr>
        <w:t>62,900</w:t>
      </w:r>
      <w:r w:rsidRPr="00C7209B">
        <w:t xml:space="preserve"> sites. </w:t>
      </w:r>
    </w:p>
    <w:p w:rsidR="00C7209B" w:rsidRPr="00C7209B" w:rsidRDefault="00C7209B" w:rsidP="00C7209B">
      <w:r w:rsidRPr="00C7209B">
        <w:t xml:space="preserve">These figures increased substantially between the first and second years of the Scheme. The number of non-government institutions participating increased from </w:t>
      </w:r>
      <w:r w:rsidRPr="00C7209B">
        <w:rPr>
          <w:b/>
          <w:bCs/>
        </w:rPr>
        <w:t>47</w:t>
      </w:r>
      <w:r w:rsidRPr="00C7209B">
        <w:t xml:space="preserve"> as at </w:t>
      </w:r>
      <w:r w:rsidRPr="00C7209B">
        <w:rPr>
          <w:b/>
          <w:bCs/>
        </w:rPr>
        <w:t>30 June 2019</w:t>
      </w:r>
      <w:r w:rsidRPr="00C7209B">
        <w:t xml:space="preserve"> to </w:t>
      </w:r>
      <w:r w:rsidRPr="00C7209B">
        <w:rPr>
          <w:b/>
          <w:bCs/>
        </w:rPr>
        <w:t>272</w:t>
      </w:r>
      <w:r w:rsidRPr="00C7209B">
        <w:t xml:space="preserve"> as at </w:t>
      </w:r>
      <w:r w:rsidRPr="00C7209B">
        <w:rPr>
          <w:b/>
          <w:bCs/>
        </w:rPr>
        <w:t>30 September 2020</w:t>
      </w:r>
      <w:r w:rsidRPr="00C7209B">
        <w:t xml:space="preserve">, to </w:t>
      </w:r>
      <w:r w:rsidRPr="00C7209B">
        <w:rPr>
          <w:b/>
          <w:bCs/>
        </w:rPr>
        <w:t>459</w:t>
      </w:r>
      <w:r w:rsidRPr="00C7209B">
        <w:t xml:space="preserve"> as at </w:t>
      </w:r>
      <w:r w:rsidRPr="00C7209B">
        <w:rPr>
          <w:b/>
          <w:bCs/>
        </w:rPr>
        <w:t>31 March 2021</w:t>
      </w:r>
      <w:r w:rsidRPr="00C7209B">
        <w:t xml:space="preserve">. </w:t>
      </w:r>
    </w:p>
    <w:p w:rsidR="00C7209B" w:rsidRPr="00C7209B" w:rsidRDefault="00C7209B" w:rsidP="00C7209B">
      <w:r w:rsidRPr="00C7209B">
        <w:t xml:space="preserve">The Minister and department continue to focus on encouraging institutions to join where they have been named in applications to the Scheme or in the Royal Commission into institutional responses to child sexual abuse. </w:t>
      </w:r>
    </w:p>
    <w:p w:rsidR="00C7209B" w:rsidRPr="00C7209B" w:rsidRDefault="00C7209B" w:rsidP="00C7209B">
      <w:r w:rsidRPr="00C7209B">
        <w:t xml:space="preserve">This includes through the introduction of measures to remove the charitable status of institutions not signed onto the Scheme, and/or prevent such institutions from accessing Commonwealth grant funding. </w:t>
      </w:r>
    </w:p>
    <w:p w:rsidR="00C7209B" w:rsidRPr="00C7209B" w:rsidRDefault="00C7209B" w:rsidP="00C7209B">
      <w:r w:rsidRPr="00C7209B">
        <w:t xml:space="preserve">Institutions named in applications or the Royal Commission that do not join the Scheme will be publicly named and may face financial penalties. The first group of institutions were publicly named on the Scheme’s website on </w:t>
      </w:r>
      <w:r w:rsidRPr="00C7209B">
        <w:rPr>
          <w:b/>
          <w:bCs/>
        </w:rPr>
        <w:t>1 July 2020</w:t>
      </w:r>
      <w:r w:rsidRPr="00C7209B">
        <w:t>.</w:t>
      </w:r>
    </w:p>
    <w:p w:rsidR="00C7209B" w:rsidRPr="00C7209B" w:rsidRDefault="00C7209B" w:rsidP="00D26BB4">
      <w:pPr>
        <w:rPr>
          <w:b/>
        </w:rPr>
      </w:pPr>
      <w:r w:rsidRPr="00C7209B">
        <w:rPr>
          <w:b/>
        </w:rPr>
        <w:t>Data from graphic</w:t>
      </w:r>
      <w:r>
        <w:rPr>
          <w:b/>
        </w:rPr>
        <w:t>:</w:t>
      </w:r>
    </w:p>
    <w:p w:rsidR="00D26BB4" w:rsidRDefault="00C7209B" w:rsidP="00D26BB4">
      <w:r>
        <w:t>1</w:t>
      </w:r>
      <w:r w:rsidR="00D26BB4">
        <w:t xml:space="preserve"> </w:t>
      </w:r>
      <w:r w:rsidR="00D26BB4" w:rsidRPr="00D26BB4">
        <w:t>Non-Government Institutions</w:t>
      </w:r>
      <w:r w:rsidR="0004132B">
        <w:t xml:space="preserve"> </w:t>
      </w:r>
      <w:r w:rsidR="004005CE">
        <w:t>public</w:t>
      </w:r>
      <w:r>
        <w:t>ly named</w:t>
      </w:r>
    </w:p>
    <w:p w:rsidR="00D26BB4" w:rsidRDefault="00C7209B" w:rsidP="00D26BB4">
      <w:r>
        <w:t>459</w:t>
      </w:r>
      <w:r w:rsidR="00D26BB4">
        <w:t xml:space="preserve"> </w:t>
      </w:r>
      <w:r w:rsidR="00D26BB4" w:rsidRPr="00D26BB4">
        <w:t>Non-Government Institutions</w:t>
      </w:r>
      <w:r w:rsidR="0004132B">
        <w:t xml:space="preserve"> </w:t>
      </w:r>
      <w:r w:rsidR="00D26BB4" w:rsidRPr="00D26BB4">
        <w:t>have opted into the Scheme</w:t>
      </w:r>
      <w:r w:rsidR="00D26BB4">
        <w:t>.</w:t>
      </w:r>
    </w:p>
    <w:p w:rsidR="00D26BB4" w:rsidRDefault="00C7209B" w:rsidP="00D26BB4">
      <w:r>
        <w:t>203</w:t>
      </w:r>
      <w:r w:rsidR="00D26BB4">
        <w:t xml:space="preserve"> </w:t>
      </w:r>
      <w:r w:rsidR="00D26BB4" w:rsidRPr="00D26BB4">
        <w:t>applications on hold due to institutions not opted in</w:t>
      </w:r>
      <w:r w:rsidR="00D26BB4">
        <w:t>.</w:t>
      </w:r>
    </w:p>
    <w:p w:rsidR="00D26BB4" w:rsidRDefault="00C7209B" w:rsidP="00D26BB4">
      <w:r>
        <w:t>7</w:t>
      </w:r>
      <w:r w:rsidR="00D26BB4">
        <w:t xml:space="preserve"> institutions have left the Scheme</w:t>
      </w:r>
      <w:r>
        <w:t>*</w:t>
      </w:r>
      <w:r w:rsidR="00D26BB4">
        <w:t>.</w:t>
      </w:r>
    </w:p>
    <w:p w:rsidR="00C7209B" w:rsidRDefault="00C7209B" w:rsidP="00C7209B">
      <w:r>
        <w:t xml:space="preserve">* </w:t>
      </w:r>
      <w:r w:rsidRPr="00C7209B">
        <w:t xml:space="preserve">None of the institutions that have left the Scheme were named by the Royal Commission, nor have any of them have been named in Redress applications. </w:t>
      </w:r>
    </w:p>
    <w:p w:rsidR="00C7209B" w:rsidRDefault="00C7209B" w:rsidP="00C7209B">
      <w:r w:rsidRPr="00C7209B">
        <w:t>Metric: Scheme participation by institutions.</w:t>
      </w:r>
    </w:p>
    <w:p w:rsidR="00C7209B" w:rsidRPr="00C7209B" w:rsidRDefault="00C7209B" w:rsidP="00C7209B"/>
    <w:p w:rsidR="00967470" w:rsidRDefault="00967470">
      <w:pPr>
        <w:rPr>
          <w:rFonts w:eastAsiaTheme="majorEastAsia" w:cstheme="majorBidi"/>
          <w:b/>
          <w:bCs/>
          <w:sz w:val="26"/>
          <w:szCs w:val="26"/>
        </w:rPr>
      </w:pPr>
      <w:r>
        <w:br w:type="page"/>
      </w:r>
    </w:p>
    <w:p w:rsidR="00D26BB4" w:rsidRPr="00D26BB4" w:rsidRDefault="008107C1" w:rsidP="00DD33A9">
      <w:pPr>
        <w:pStyle w:val="Heading2"/>
      </w:pPr>
      <w:r>
        <w:lastRenderedPageBreak/>
        <w:t xml:space="preserve">Priority Area </w:t>
      </w:r>
      <w:r w:rsidR="00D26BB4" w:rsidRPr="00D26BB4">
        <w:t>3</w:t>
      </w:r>
      <w:r>
        <w:t>:</w:t>
      </w:r>
      <w:r w:rsidR="00D26BB4" w:rsidRPr="00D26BB4">
        <w:t xml:space="preserve"> Equity of Access</w:t>
      </w:r>
    </w:p>
    <w:p w:rsidR="00C7209B" w:rsidRPr="00C7209B" w:rsidRDefault="00C7209B" w:rsidP="00C7209B">
      <w:pPr>
        <w:pStyle w:val="Heading3"/>
        <w:rPr>
          <w:b w:val="0"/>
        </w:rPr>
      </w:pPr>
      <w:r w:rsidRPr="00C7209B">
        <w:rPr>
          <w:b w:val="0"/>
        </w:rPr>
        <w:t xml:space="preserve">The Scheme recognises the unique sensitivities and considerations of the various survivor demographics and seeks to promote equitable access to legal and support services. </w:t>
      </w:r>
    </w:p>
    <w:p w:rsidR="00C7209B" w:rsidRPr="00C7209B" w:rsidRDefault="00C7209B" w:rsidP="00C7209B">
      <w:pPr>
        <w:pStyle w:val="Heading3"/>
        <w:rPr>
          <w:b w:val="0"/>
        </w:rPr>
      </w:pPr>
      <w:r w:rsidRPr="00C7209B">
        <w:rPr>
          <w:b w:val="0"/>
        </w:rPr>
        <w:t>This data is current as at 31 March 2021 for the life of the Scheme.</w:t>
      </w:r>
    </w:p>
    <w:p w:rsidR="00D26BB4" w:rsidRDefault="00D26BB4" w:rsidP="00C7209B">
      <w:pPr>
        <w:pStyle w:val="Heading3"/>
        <w:spacing w:after="120"/>
        <w:rPr>
          <w:sz w:val="24"/>
          <w:szCs w:val="24"/>
        </w:rPr>
      </w:pPr>
      <w:r w:rsidRPr="00C7209B">
        <w:rPr>
          <w:sz w:val="24"/>
          <w:szCs w:val="24"/>
        </w:rPr>
        <w:t>3a. Scheme Accessibility</w:t>
      </w:r>
    </w:p>
    <w:p w:rsidR="00C7209B" w:rsidRPr="00C7209B" w:rsidRDefault="00C7209B" w:rsidP="00C7209B">
      <w:pPr>
        <w:rPr>
          <w:b/>
        </w:rPr>
      </w:pPr>
      <w:r w:rsidRPr="00C7209B">
        <w:rPr>
          <w:b/>
        </w:rPr>
        <w:t>Data from graphic:</w:t>
      </w:r>
    </w:p>
    <w:p w:rsidR="00D26BB4" w:rsidRDefault="00DD33A9" w:rsidP="00D26BB4">
      <w:r>
        <w:t>1</w:t>
      </w:r>
      <w:r w:rsidR="00C7209B">
        <w:t>9</w:t>
      </w:r>
      <w:r>
        <w:t xml:space="preserve"> per cent </w:t>
      </w:r>
      <w:r w:rsidRPr="00DD33A9">
        <w:t>applicants aged 70 or older</w:t>
      </w:r>
      <w:r>
        <w:t>.</w:t>
      </w:r>
    </w:p>
    <w:p w:rsidR="00DD33A9" w:rsidRDefault="00C7209B" w:rsidP="00D26BB4">
      <w:r>
        <w:t>31</w:t>
      </w:r>
      <w:r w:rsidR="00DD33A9">
        <w:t xml:space="preserve"> per cent applicants who identify as Aboriginal or Torres Strait Islander.</w:t>
      </w:r>
    </w:p>
    <w:p w:rsidR="00DD33A9" w:rsidRDefault="00C7209B" w:rsidP="00D26BB4">
      <w:r>
        <w:t>48</w:t>
      </w:r>
      <w:r w:rsidR="00DD33A9">
        <w:t xml:space="preserve"> per cent applicants</w:t>
      </w:r>
      <w:r>
        <w:t xml:space="preserve"> self-identify as living with </w:t>
      </w:r>
      <w:r w:rsidR="00DD33A9">
        <w:t>a disability</w:t>
      </w:r>
      <w:r>
        <w:t>*</w:t>
      </w:r>
      <w:r w:rsidR="00DD33A9">
        <w:t>.</w:t>
      </w:r>
    </w:p>
    <w:p w:rsidR="00DD33A9" w:rsidRDefault="00C7209B" w:rsidP="00D26BB4">
      <w:r>
        <w:t>45</w:t>
      </w:r>
      <w:r w:rsidR="00DD33A9">
        <w:t xml:space="preserve"> per cent applicants who live in a rural or remote location.</w:t>
      </w:r>
    </w:p>
    <w:p w:rsidR="00C7209B" w:rsidRPr="00C7209B" w:rsidRDefault="00C7209B" w:rsidP="00C7209B">
      <w:r>
        <w:t xml:space="preserve">* </w:t>
      </w:r>
      <w:r w:rsidRPr="00C7209B">
        <w:t>disability is not a term defined by the Scheme. Applicants may self-identify as having a disability which includes illness and age-related conditions.</w:t>
      </w:r>
    </w:p>
    <w:p w:rsidR="004F6DF4" w:rsidRPr="004F6DF4" w:rsidRDefault="004F6DF4" w:rsidP="004F6DF4">
      <w:pPr>
        <w:pStyle w:val="Heading3"/>
        <w:rPr>
          <w:b w:val="0"/>
        </w:rPr>
      </w:pPr>
      <w:r w:rsidRPr="004F6DF4">
        <w:rPr>
          <w:b w:val="0"/>
          <w:iCs/>
        </w:rPr>
        <w:t>Metric: The number of survivors who successfully lodge an application with the Scheme each year, published according to survivor demographics, such as participation by Aboriginal and Torres Strait Islander / rural and remote / disabled / elderly.</w:t>
      </w:r>
    </w:p>
    <w:p w:rsidR="00DD33A9" w:rsidRPr="004F6DF4" w:rsidRDefault="00DD33A9" w:rsidP="004F6DF4">
      <w:pPr>
        <w:pStyle w:val="Heading3"/>
        <w:spacing w:after="120" w:line="276" w:lineRule="auto"/>
        <w:rPr>
          <w:sz w:val="24"/>
          <w:szCs w:val="24"/>
        </w:rPr>
      </w:pPr>
      <w:r w:rsidRPr="004F6DF4">
        <w:rPr>
          <w:sz w:val="24"/>
          <w:szCs w:val="24"/>
        </w:rPr>
        <w:t>3b. Scheme Intersectionality</w:t>
      </w:r>
    </w:p>
    <w:p w:rsidR="004F6DF4" w:rsidRPr="004F6DF4" w:rsidRDefault="004F6DF4" w:rsidP="004F6DF4">
      <w:pPr>
        <w:rPr>
          <w:b/>
        </w:rPr>
      </w:pPr>
      <w:r w:rsidRPr="004F6DF4">
        <w:rPr>
          <w:b/>
          <w:iCs/>
        </w:rPr>
        <w:t>Table</w:t>
      </w:r>
      <w:r w:rsidR="008A2BEC">
        <w:rPr>
          <w:b/>
          <w:iCs/>
        </w:rPr>
        <w:t xml:space="preserve"> (modified for accessibility)</w:t>
      </w:r>
      <w:r w:rsidRPr="004F6DF4">
        <w:rPr>
          <w:b/>
          <w:iCs/>
        </w:rPr>
        <w:t>:</w:t>
      </w:r>
    </w:p>
    <w:tbl>
      <w:tblPr>
        <w:tblStyle w:val="TableGridLight"/>
        <w:tblW w:w="8915" w:type="dxa"/>
        <w:tblLook w:val="04A0" w:firstRow="1" w:lastRow="0" w:firstColumn="1" w:lastColumn="0" w:noHBand="0" w:noVBand="1"/>
        <w:tblCaption w:val="Scheme Intersectionality Table"/>
        <w:tblDescription w:val="This table shows that for the 1906 applicants identified as elderly, 421 self identified they were an aboriginal or torres stright islander person, 1,002 self identified they had a disability and 880 lived in rural and remote Australia.  For the 3,089 people self identifying as an aboriginal and torres straight islander perons, 421 were elderly (over 50 years), 1,609 self identified they had a disability, and 1,626 were living in a rural and remote area.  For the 4,788 people that self identified they had a disability, 1,002 are elderly, 1,609 identified as Aboriginal and Torres Straight Islander, and 2,278 were living in rural and remote Australia.  Of the 4,511 applicants living in rural and remote Australia, 880 were elderly, 1,626 identified as Aboriginal and Torres Straight Islander, 2,278 self identified they had a disability."/>
      </w:tblPr>
      <w:tblGrid>
        <w:gridCol w:w="1783"/>
        <w:gridCol w:w="1783"/>
        <w:gridCol w:w="1783"/>
        <w:gridCol w:w="1783"/>
        <w:gridCol w:w="1783"/>
      </w:tblGrid>
      <w:tr w:rsidR="004F6DF4" w:rsidRPr="00967470" w:rsidTr="00E837A9">
        <w:trPr>
          <w:trHeight w:val="1134"/>
          <w:tblHeader/>
        </w:trPr>
        <w:tc>
          <w:tcPr>
            <w:tcW w:w="1783" w:type="dxa"/>
            <w:hideMark/>
          </w:tcPr>
          <w:p w:rsidR="004F6DF4" w:rsidRPr="00967470" w:rsidRDefault="004F6DF4" w:rsidP="009965F5">
            <w:pPr>
              <w:rPr>
                <w:rFonts w:ascii="Times New Roman" w:eastAsia="Times New Roman" w:hAnsi="Times New Roman" w:cs="Times New Roman"/>
                <w:b/>
                <w:sz w:val="24"/>
                <w:szCs w:val="24"/>
                <w:lang w:eastAsia="en-AU"/>
              </w:rPr>
            </w:pPr>
          </w:p>
        </w:tc>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Elderly</w:t>
            </w:r>
          </w:p>
        </w:tc>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Aboriginal and Torres Strait Islander</w:t>
            </w:r>
          </w:p>
        </w:tc>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Disability</w:t>
            </w:r>
          </w:p>
        </w:tc>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Rural and remote</w:t>
            </w:r>
          </w:p>
        </w:tc>
      </w:tr>
      <w:tr w:rsidR="004F6DF4" w:rsidRPr="00967470" w:rsidTr="008A2BEC">
        <w:trPr>
          <w:trHeight w:val="1134"/>
        </w:trPr>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Elderly</w:t>
            </w:r>
          </w:p>
        </w:tc>
        <w:tc>
          <w:tcPr>
            <w:tcW w:w="1783" w:type="dxa"/>
            <w:shd w:val="clear" w:color="auto" w:fill="D9D9D9" w:themeFill="background1" w:themeFillShade="D9"/>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1,906*</w:t>
            </w:r>
          </w:p>
        </w:tc>
        <w:tc>
          <w:tcPr>
            <w:tcW w:w="1783" w:type="dxa"/>
            <w:hideMark/>
          </w:tcPr>
          <w:p w:rsidR="004F6DF4" w:rsidRPr="00967470" w:rsidRDefault="009965F5"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421</w:t>
            </w:r>
          </w:p>
        </w:tc>
        <w:tc>
          <w:tcPr>
            <w:tcW w:w="1783" w:type="dxa"/>
            <w:hideMark/>
          </w:tcPr>
          <w:p w:rsidR="004F6DF4" w:rsidRPr="00967470" w:rsidRDefault="009965F5" w:rsidP="009965F5">
            <w:pPr>
              <w:jc w:val="center"/>
              <w:rPr>
                <w:rFonts w:ascii="Times New Roman" w:eastAsia="Times New Roman" w:hAnsi="Times New Roman" w:cs="Times New Roman"/>
                <w:sz w:val="24"/>
                <w:szCs w:val="24"/>
                <w:lang w:eastAsia="en-AU"/>
              </w:rPr>
            </w:pPr>
            <w:r w:rsidRPr="00967470">
              <w:rPr>
                <w:rFonts w:ascii="Calibri" w:eastAsia="Times New Roman" w:hAnsi="Calibri" w:cs="Calibri"/>
                <w:b/>
                <w:bCs/>
                <w:color w:val="000000" w:themeColor="text1"/>
                <w:kern w:val="24"/>
                <w:sz w:val="24"/>
                <w:szCs w:val="24"/>
                <w:lang w:eastAsia="en-AU"/>
              </w:rPr>
              <w:t>1,002</w:t>
            </w:r>
          </w:p>
        </w:tc>
        <w:tc>
          <w:tcPr>
            <w:tcW w:w="1783" w:type="dxa"/>
            <w:hideMark/>
          </w:tcPr>
          <w:p w:rsidR="004F6DF4" w:rsidRPr="00967470" w:rsidRDefault="009965F5" w:rsidP="009965F5">
            <w:pPr>
              <w:jc w:val="center"/>
              <w:rPr>
                <w:rFonts w:ascii="Times New Roman" w:eastAsia="Times New Roman" w:hAnsi="Times New Roman" w:cs="Times New Roman"/>
                <w:sz w:val="24"/>
                <w:szCs w:val="24"/>
                <w:lang w:eastAsia="en-AU"/>
              </w:rPr>
            </w:pPr>
            <w:r w:rsidRPr="00967470">
              <w:rPr>
                <w:rFonts w:ascii="Calibri" w:eastAsia="Times New Roman" w:hAnsi="Calibri" w:cs="Calibri"/>
                <w:b/>
                <w:bCs/>
                <w:color w:val="000000" w:themeColor="text1"/>
                <w:kern w:val="24"/>
                <w:sz w:val="24"/>
                <w:szCs w:val="24"/>
                <w:lang w:eastAsia="en-AU"/>
              </w:rPr>
              <w:t>880</w:t>
            </w:r>
          </w:p>
        </w:tc>
      </w:tr>
      <w:tr w:rsidR="004F6DF4" w:rsidRPr="00967470" w:rsidTr="008A2BEC">
        <w:trPr>
          <w:trHeight w:val="1463"/>
        </w:trPr>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Aboriginal and Torres Strait Islander</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421</w:t>
            </w:r>
          </w:p>
        </w:tc>
        <w:tc>
          <w:tcPr>
            <w:tcW w:w="1783" w:type="dxa"/>
            <w:shd w:val="clear" w:color="auto" w:fill="D9D9D9" w:themeFill="background1" w:themeFillShade="D9"/>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3,089</w:t>
            </w:r>
          </w:p>
        </w:tc>
        <w:tc>
          <w:tcPr>
            <w:tcW w:w="1783" w:type="dxa"/>
            <w:hideMark/>
          </w:tcPr>
          <w:p w:rsidR="004F6DF4" w:rsidRPr="00967470" w:rsidRDefault="009965F5"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1,609</w:t>
            </w:r>
          </w:p>
        </w:tc>
        <w:tc>
          <w:tcPr>
            <w:tcW w:w="1783" w:type="dxa"/>
            <w:hideMark/>
          </w:tcPr>
          <w:p w:rsidR="004F6DF4" w:rsidRPr="00967470" w:rsidRDefault="009965F5" w:rsidP="009965F5">
            <w:pPr>
              <w:jc w:val="center"/>
              <w:rPr>
                <w:rFonts w:ascii="Times New Roman" w:eastAsia="Times New Roman" w:hAnsi="Times New Roman" w:cs="Times New Roman"/>
                <w:sz w:val="24"/>
                <w:szCs w:val="24"/>
                <w:lang w:eastAsia="en-AU"/>
              </w:rPr>
            </w:pPr>
            <w:r w:rsidRPr="00967470">
              <w:rPr>
                <w:rFonts w:ascii="Calibri" w:eastAsia="Times New Roman" w:hAnsi="Calibri" w:cs="Calibri"/>
                <w:b/>
                <w:bCs/>
                <w:color w:val="000000" w:themeColor="text1"/>
                <w:kern w:val="24"/>
                <w:sz w:val="24"/>
                <w:szCs w:val="24"/>
                <w:lang w:eastAsia="en-AU"/>
              </w:rPr>
              <w:t>1,626</w:t>
            </w:r>
          </w:p>
        </w:tc>
      </w:tr>
      <w:tr w:rsidR="004F6DF4" w:rsidRPr="00967470" w:rsidTr="008A2BEC">
        <w:trPr>
          <w:trHeight w:val="1134"/>
        </w:trPr>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Disability</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1,002</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1,609</w:t>
            </w:r>
          </w:p>
        </w:tc>
        <w:tc>
          <w:tcPr>
            <w:tcW w:w="1783" w:type="dxa"/>
            <w:shd w:val="clear" w:color="auto" w:fill="D9D9D9" w:themeFill="background1" w:themeFillShade="D9"/>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4,788</w:t>
            </w:r>
          </w:p>
        </w:tc>
        <w:tc>
          <w:tcPr>
            <w:tcW w:w="1783" w:type="dxa"/>
            <w:hideMark/>
          </w:tcPr>
          <w:p w:rsidR="004F6DF4" w:rsidRPr="00967470" w:rsidRDefault="009965F5"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2,278</w:t>
            </w:r>
          </w:p>
        </w:tc>
      </w:tr>
      <w:tr w:rsidR="004F6DF4" w:rsidRPr="00967470" w:rsidTr="008A2BEC">
        <w:trPr>
          <w:trHeight w:val="1134"/>
        </w:trPr>
        <w:tc>
          <w:tcPr>
            <w:tcW w:w="1783" w:type="dxa"/>
            <w:hideMark/>
          </w:tcPr>
          <w:p w:rsidR="004F6DF4" w:rsidRPr="00967470" w:rsidRDefault="004F6DF4" w:rsidP="009965F5">
            <w:pPr>
              <w:jc w:val="center"/>
              <w:rPr>
                <w:rFonts w:eastAsia="Times New Roman" w:cs="Arial"/>
                <w:b/>
                <w:sz w:val="24"/>
                <w:szCs w:val="24"/>
                <w:lang w:eastAsia="en-AU"/>
              </w:rPr>
            </w:pPr>
            <w:r w:rsidRPr="00967470">
              <w:rPr>
                <w:rFonts w:ascii="Calibri" w:eastAsia="Times New Roman" w:hAnsi="Calibri" w:cs="Calibri"/>
                <w:b/>
                <w:color w:val="000000" w:themeColor="text1"/>
                <w:kern w:val="24"/>
                <w:sz w:val="24"/>
                <w:szCs w:val="24"/>
                <w:lang w:eastAsia="en-AU"/>
              </w:rPr>
              <w:t>Rural and remote</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880</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1,626</w:t>
            </w:r>
          </w:p>
        </w:tc>
        <w:tc>
          <w:tcPr>
            <w:tcW w:w="1783" w:type="dxa"/>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2,278</w:t>
            </w:r>
          </w:p>
        </w:tc>
        <w:tc>
          <w:tcPr>
            <w:tcW w:w="1783" w:type="dxa"/>
            <w:shd w:val="clear" w:color="auto" w:fill="D9D9D9" w:themeFill="background1" w:themeFillShade="D9"/>
            <w:hideMark/>
          </w:tcPr>
          <w:p w:rsidR="004F6DF4" w:rsidRPr="00967470" w:rsidRDefault="004F6DF4" w:rsidP="009965F5">
            <w:pPr>
              <w:jc w:val="center"/>
              <w:rPr>
                <w:rFonts w:eastAsia="Times New Roman" w:cs="Arial"/>
                <w:sz w:val="24"/>
                <w:szCs w:val="24"/>
                <w:lang w:eastAsia="en-AU"/>
              </w:rPr>
            </w:pPr>
            <w:r w:rsidRPr="00967470">
              <w:rPr>
                <w:rFonts w:ascii="Calibri" w:eastAsia="Times New Roman" w:hAnsi="Calibri" w:cs="Calibri"/>
                <w:b/>
                <w:bCs/>
                <w:color w:val="000000" w:themeColor="text1"/>
                <w:kern w:val="24"/>
                <w:sz w:val="24"/>
                <w:szCs w:val="24"/>
                <w:lang w:eastAsia="en-AU"/>
              </w:rPr>
              <w:t>4,511</w:t>
            </w:r>
          </w:p>
        </w:tc>
      </w:tr>
    </w:tbl>
    <w:p w:rsidR="00DD33A9" w:rsidRDefault="00DD33A9" w:rsidP="00D26BB4"/>
    <w:p w:rsidR="004F6DF4" w:rsidRPr="004F6DF4" w:rsidRDefault="004F6DF4" w:rsidP="004F6DF4">
      <w:r w:rsidRPr="004F6DF4">
        <w:rPr>
          <w:b/>
          <w:i/>
          <w:iCs/>
        </w:rPr>
        <w:lastRenderedPageBreak/>
        <w:t>*</w:t>
      </w:r>
      <w:r w:rsidRPr="004F6DF4">
        <w:t xml:space="preserve">Aboriginal and Torres Strait Islander </w:t>
      </w:r>
      <w:r w:rsidRPr="004F6DF4">
        <w:rPr>
          <w:iCs/>
        </w:rPr>
        <w:t>elderly are defined as aged 50 or older, whereas for all other applicants it is 70 or older.</w:t>
      </w:r>
    </w:p>
    <w:p w:rsidR="008771AD" w:rsidRPr="004F6DF4" w:rsidRDefault="008771AD" w:rsidP="008771AD">
      <w:pPr>
        <w:pStyle w:val="Heading3"/>
        <w:rPr>
          <w:sz w:val="24"/>
          <w:szCs w:val="24"/>
        </w:rPr>
      </w:pPr>
      <w:r w:rsidRPr="004F6DF4">
        <w:rPr>
          <w:sz w:val="24"/>
          <w:szCs w:val="24"/>
        </w:rPr>
        <w:t>Commentary</w:t>
      </w:r>
    </w:p>
    <w:p w:rsidR="004F6DF4" w:rsidRPr="004F6DF4" w:rsidRDefault="004F6DF4" w:rsidP="004F6DF4">
      <w:pPr>
        <w:pStyle w:val="Heading2"/>
        <w:rPr>
          <w:b w:val="0"/>
          <w:sz w:val="22"/>
          <w:szCs w:val="22"/>
        </w:rPr>
      </w:pPr>
      <w:r w:rsidRPr="004F6DF4">
        <w:rPr>
          <w:b w:val="0"/>
          <w:sz w:val="22"/>
          <w:szCs w:val="22"/>
        </w:rPr>
        <w:t xml:space="preserve">Intersectionality demonstrates how different survivor cohorts overlap and highlights the unique demographic of the survivor cohort. </w:t>
      </w:r>
    </w:p>
    <w:p w:rsidR="004F6DF4" w:rsidRPr="004F6DF4" w:rsidRDefault="004F6DF4" w:rsidP="004F6DF4">
      <w:pPr>
        <w:pStyle w:val="Heading2"/>
        <w:rPr>
          <w:b w:val="0"/>
          <w:sz w:val="22"/>
          <w:szCs w:val="22"/>
        </w:rPr>
      </w:pPr>
      <w:r w:rsidRPr="004F6DF4">
        <w:rPr>
          <w:b w:val="0"/>
          <w:sz w:val="22"/>
          <w:szCs w:val="22"/>
        </w:rPr>
        <w:t>For example, 2,278 applicants self identified as both having a disability and living in a rural or remote location.</w:t>
      </w:r>
    </w:p>
    <w:p w:rsidR="004F6DF4" w:rsidRDefault="004F6DF4" w:rsidP="004F6DF4">
      <w:pPr>
        <w:pStyle w:val="Heading2"/>
        <w:rPr>
          <w:b w:val="0"/>
          <w:sz w:val="22"/>
          <w:szCs w:val="22"/>
        </w:rPr>
      </w:pPr>
      <w:r w:rsidRPr="004F6DF4">
        <w:rPr>
          <w:b w:val="0"/>
          <w:sz w:val="22"/>
          <w:szCs w:val="22"/>
        </w:rPr>
        <w:t>The support services offered are culturally and linguistically diverse, noting the diversity of applicants in the Scheme.</w:t>
      </w:r>
    </w:p>
    <w:p w:rsidR="004F6DF4" w:rsidRDefault="004F6DF4" w:rsidP="004F6DF4">
      <w:pPr>
        <w:rPr>
          <w:rFonts w:eastAsiaTheme="majorEastAsia" w:cstheme="majorBidi"/>
        </w:rPr>
      </w:pPr>
    </w:p>
    <w:p w:rsidR="008771AD" w:rsidRPr="008771AD" w:rsidRDefault="008107C1" w:rsidP="008771AD">
      <w:pPr>
        <w:pStyle w:val="Heading2"/>
      </w:pPr>
      <w:r>
        <w:t xml:space="preserve">Priority Area </w:t>
      </w:r>
      <w:r w:rsidR="008771AD" w:rsidRPr="008771AD">
        <w:t>3</w:t>
      </w:r>
      <w:r>
        <w:t>:</w:t>
      </w:r>
      <w:r w:rsidR="008771AD" w:rsidRPr="008771AD">
        <w:t xml:space="preserve"> Equity of Access</w:t>
      </w:r>
      <w:r w:rsidR="008771AD">
        <w:t xml:space="preserve"> </w:t>
      </w:r>
      <w:r w:rsidR="004F6DF4">
        <w:t>(continued</w:t>
      </w:r>
      <w:r w:rsidR="008771AD" w:rsidRPr="008771AD">
        <w:t>)</w:t>
      </w:r>
    </w:p>
    <w:p w:rsidR="004F6DF4" w:rsidRPr="00C7209B" w:rsidRDefault="004F6DF4" w:rsidP="004F6DF4">
      <w:pPr>
        <w:pStyle w:val="Heading3"/>
        <w:rPr>
          <w:b w:val="0"/>
        </w:rPr>
      </w:pPr>
      <w:r w:rsidRPr="00C7209B">
        <w:rPr>
          <w:b w:val="0"/>
        </w:rPr>
        <w:t xml:space="preserve">The Scheme recognises the unique sensitivities and considerations of the various survivor demographics and seeks to promote equitable access to legal and support services. </w:t>
      </w:r>
    </w:p>
    <w:p w:rsidR="004F6DF4" w:rsidRPr="00C7209B" w:rsidRDefault="004F6DF4" w:rsidP="004F6DF4">
      <w:pPr>
        <w:pStyle w:val="Heading3"/>
        <w:rPr>
          <w:b w:val="0"/>
        </w:rPr>
      </w:pPr>
      <w:r w:rsidRPr="00C7209B">
        <w:rPr>
          <w:b w:val="0"/>
        </w:rPr>
        <w:t>This data is current as at 31 March 2021 for the life of the Scheme.</w:t>
      </w:r>
    </w:p>
    <w:p w:rsidR="008771AD" w:rsidRPr="004F6DF4" w:rsidRDefault="008771AD" w:rsidP="004F6DF4">
      <w:pPr>
        <w:pStyle w:val="Heading3"/>
        <w:spacing w:after="120"/>
        <w:rPr>
          <w:sz w:val="24"/>
          <w:szCs w:val="24"/>
        </w:rPr>
      </w:pPr>
      <w:r w:rsidRPr="004F6DF4">
        <w:rPr>
          <w:sz w:val="24"/>
          <w:szCs w:val="24"/>
        </w:rPr>
        <w:t>3c. Support Service Accessibility</w:t>
      </w:r>
    </w:p>
    <w:p w:rsidR="004F6DF4" w:rsidRDefault="004F6DF4" w:rsidP="008771AD">
      <w:r w:rsidRPr="00967470">
        <w:rPr>
          <w:b/>
        </w:rPr>
        <w:t>Data from graphic</w:t>
      </w:r>
      <w:r>
        <w:t>:</w:t>
      </w:r>
    </w:p>
    <w:p w:rsidR="008771AD" w:rsidRDefault="008771AD" w:rsidP="008771AD">
      <w:r>
        <w:t>8 per cent of applicants are aged 70 or older and used a Redress Support Service (RSS).</w:t>
      </w:r>
    </w:p>
    <w:p w:rsidR="008771AD" w:rsidRDefault="008771AD" w:rsidP="008771AD">
      <w:r>
        <w:t>1</w:t>
      </w:r>
      <w:r w:rsidR="004F6DF4">
        <w:t>2</w:t>
      </w:r>
      <w:r>
        <w:t xml:space="preserve"> per cent of applicants identify as Aboriginal and Torres Strait Islander and used an RSS.</w:t>
      </w:r>
    </w:p>
    <w:p w:rsidR="008771AD" w:rsidRDefault="008771AD" w:rsidP="008771AD">
      <w:r>
        <w:t>2</w:t>
      </w:r>
      <w:r w:rsidR="004F6DF4">
        <w:t>2</w:t>
      </w:r>
      <w:r>
        <w:t xml:space="preserve"> per cent of applicants have a disability and used an RSS.</w:t>
      </w:r>
    </w:p>
    <w:p w:rsidR="008771AD" w:rsidRDefault="008771AD" w:rsidP="008771AD">
      <w:r>
        <w:t>1</w:t>
      </w:r>
      <w:r w:rsidR="004F6DF4">
        <w:t>4</w:t>
      </w:r>
      <w:r>
        <w:t xml:space="preserve"> per cent of applicants live in a rural or remote location and used an RSS.</w:t>
      </w:r>
    </w:p>
    <w:p w:rsidR="004F6DF4" w:rsidRPr="004F6DF4" w:rsidRDefault="004F6DF4" w:rsidP="004F6DF4">
      <w:r w:rsidRPr="004F6DF4">
        <w:rPr>
          <w:iCs/>
        </w:rPr>
        <w:t>Metric: Accessibility of the Scheme’s support services to all survivor demographics, such as participation by Aboriginal and Torres Strait Islander / rural and remote / disabled / elderly.</w:t>
      </w:r>
    </w:p>
    <w:p w:rsidR="004F6DF4" w:rsidRPr="004F6DF4" w:rsidRDefault="004F6DF4" w:rsidP="004F6DF4">
      <w:r w:rsidRPr="004F6DF4">
        <w:t>*the percentages above represent 3,108 applicants who indicated that they used a Redress Support Services, including knowmore, in preparing their application, out of 10,047 applications received by the Scheme.</w:t>
      </w:r>
    </w:p>
    <w:p w:rsidR="004F6DF4" w:rsidRPr="004F6DF4" w:rsidRDefault="004F6DF4" w:rsidP="004F6DF4">
      <w:pPr>
        <w:pStyle w:val="Heading3"/>
        <w:spacing w:after="120"/>
        <w:rPr>
          <w:sz w:val="24"/>
          <w:szCs w:val="24"/>
        </w:rPr>
      </w:pPr>
      <w:r w:rsidRPr="004F6DF4">
        <w:rPr>
          <w:sz w:val="24"/>
          <w:szCs w:val="24"/>
        </w:rPr>
        <w:t>Commentary</w:t>
      </w:r>
    </w:p>
    <w:p w:rsidR="004F6DF4" w:rsidRPr="004F6DF4" w:rsidRDefault="004F6DF4" w:rsidP="004F6DF4">
      <w:pPr>
        <w:pStyle w:val="Heading3"/>
        <w:rPr>
          <w:b w:val="0"/>
        </w:rPr>
      </w:pPr>
      <w:r w:rsidRPr="004F6DF4">
        <w:rPr>
          <w:b w:val="0"/>
        </w:rPr>
        <w:t xml:space="preserve">The Support Services Accessibility Heat map </w:t>
      </w:r>
      <w:r>
        <w:rPr>
          <w:b w:val="0"/>
        </w:rPr>
        <w:t xml:space="preserve">(next page) </w:t>
      </w:r>
      <w:r w:rsidRPr="004F6DF4">
        <w:rPr>
          <w:b w:val="0"/>
        </w:rPr>
        <w:t>shows the concentration of applicants to the Scheme, and their proximity to Redress Support Services.</w:t>
      </w:r>
    </w:p>
    <w:p w:rsidR="004F6DF4" w:rsidRPr="004F6DF4" w:rsidRDefault="004F6DF4" w:rsidP="004F6DF4">
      <w:pPr>
        <w:pStyle w:val="Heading3"/>
        <w:rPr>
          <w:b w:val="0"/>
        </w:rPr>
      </w:pPr>
      <w:r w:rsidRPr="004F6DF4">
        <w:rPr>
          <w:b w:val="0"/>
        </w:rPr>
        <w:t xml:space="preserve">Redress Support Services offer face-to-face and/or phone/video support to meet the diverse needs of applicants. Many Services conduct outreach to support people to apply from rural and remote locations. </w:t>
      </w:r>
    </w:p>
    <w:p w:rsidR="004F6DF4" w:rsidRPr="004F6DF4" w:rsidRDefault="004F6DF4" w:rsidP="004F6DF4">
      <w:pPr>
        <w:pStyle w:val="Heading3"/>
        <w:rPr>
          <w:b w:val="0"/>
        </w:rPr>
      </w:pPr>
      <w:r w:rsidRPr="004F6DF4">
        <w:rPr>
          <w:b w:val="0"/>
        </w:rPr>
        <w:t xml:space="preserve">The Scheme will continue to focus on addressing service gaps and needs, enable specialist support for diverse client cohorts, and increase outreach to assist people to apply in regional and remote locations. </w:t>
      </w:r>
    </w:p>
    <w:p w:rsidR="004F6DF4" w:rsidRDefault="004F6DF4">
      <w:pPr>
        <w:rPr>
          <w:rFonts w:eastAsiaTheme="majorEastAsia" w:cstheme="majorBidi"/>
          <w:b/>
          <w:bCs/>
        </w:rPr>
      </w:pPr>
      <w:r>
        <w:br w:type="page"/>
      </w:r>
    </w:p>
    <w:p w:rsidR="004F6DF4" w:rsidRPr="00967470" w:rsidRDefault="00967470" w:rsidP="00967470">
      <w:pPr>
        <w:pStyle w:val="Heading3"/>
        <w:rPr>
          <w:sz w:val="24"/>
          <w:szCs w:val="24"/>
        </w:rPr>
      </w:pPr>
      <w:r>
        <w:rPr>
          <w:sz w:val="24"/>
          <w:szCs w:val="24"/>
        </w:rPr>
        <w:lastRenderedPageBreak/>
        <w:t xml:space="preserve">Graphic: </w:t>
      </w:r>
      <w:r w:rsidR="004F6DF4" w:rsidRPr="00967470">
        <w:rPr>
          <w:sz w:val="24"/>
          <w:szCs w:val="24"/>
        </w:rPr>
        <w:t>Support Service Accessibility Heat</w:t>
      </w:r>
      <w:r>
        <w:rPr>
          <w:sz w:val="24"/>
          <w:szCs w:val="24"/>
        </w:rPr>
        <w:t>map</w:t>
      </w:r>
    </w:p>
    <w:p w:rsidR="00967470" w:rsidRDefault="00967470" w:rsidP="00967470">
      <w:r>
        <w:br/>
      </w:r>
      <w:r w:rsidR="004F6DF4" w:rsidRPr="004F6DF4">
        <w:rPr>
          <w:noProof/>
          <w:lang w:eastAsia="en-AU"/>
        </w:rPr>
        <w:drawing>
          <wp:inline distT="0" distB="0" distL="0" distR="0" wp14:anchorId="238A1F41" wp14:editId="04DDD177">
            <wp:extent cx="5690382" cy="5170615"/>
            <wp:effectExtent l="0" t="0" r="5715" b="0"/>
            <wp:docPr id="4" name="Picture 3" descr="The heat map shows the location of Redress Support Services using a green circle.  &#10;&#10;Redress Support Services are located in major cities such as Darwin, Cairns, Bribane, Sydney, Canberra, Melbourne, Hobart, Adelaide, Perth, Alice Springs and have operating locations in other areas around the country.  &#10;&#10;Areas highlighted in bright yellow show the areas where applicants live who access the free Redress Support Services.  Areas shown in red are almost as high.&#10;&#10;The areas shown in a greyish blue and pink show that applicants living in these areas have a low take up of accessing free Redress Support Services when making an application to the Scheme.&#10;" title="Support Services Accessibility Hea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2519" cy="5181643"/>
                    </a:xfrm>
                    <a:prstGeom prst="rect">
                      <a:avLst/>
                    </a:prstGeom>
                  </pic:spPr>
                </pic:pic>
              </a:graphicData>
            </a:graphic>
          </wp:inline>
        </w:drawing>
      </w:r>
      <w:r>
        <w:t xml:space="preserve"> </w:t>
      </w:r>
    </w:p>
    <w:p w:rsidR="00262211" w:rsidRDefault="00262211" w:rsidP="00EE7C60">
      <w:pPr>
        <w:pStyle w:val="Heading2"/>
      </w:pPr>
    </w:p>
    <w:p w:rsidR="00EE7C60" w:rsidRPr="00EE7C60" w:rsidRDefault="00EE7C60" w:rsidP="00EE7C60">
      <w:pPr>
        <w:pStyle w:val="Heading2"/>
      </w:pPr>
      <w:r w:rsidRPr="00EE7C60">
        <w:t>Going forward</w:t>
      </w:r>
    </w:p>
    <w:p w:rsidR="004F6DF4" w:rsidRPr="004F6DF4" w:rsidRDefault="004F6DF4" w:rsidP="00967470">
      <w:pPr>
        <w:pStyle w:val="Heading2"/>
        <w:rPr>
          <w:b w:val="0"/>
          <w:sz w:val="22"/>
          <w:szCs w:val="22"/>
        </w:rPr>
      </w:pPr>
      <w:r w:rsidRPr="004F6DF4">
        <w:rPr>
          <w:b w:val="0"/>
          <w:sz w:val="22"/>
          <w:szCs w:val="22"/>
        </w:rPr>
        <w:t xml:space="preserve">The Scheme continues to improve. The success measures are important in tracking improvement and ensuring accountability. The data in this second Strategic Success Measures report represents an improvement in the Scheme’s second year of operation compared to the first year. </w:t>
      </w:r>
    </w:p>
    <w:p w:rsidR="004F6DF4" w:rsidRPr="004F6DF4" w:rsidRDefault="004F6DF4" w:rsidP="00967470">
      <w:pPr>
        <w:pStyle w:val="Heading2"/>
        <w:rPr>
          <w:b w:val="0"/>
          <w:sz w:val="22"/>
          <w:szCs w:val="22"/>
        </w:rPr>
      </w:pPr>
      <w:r w:rsidRPr="004F6DF4">
        <w:rPr>
          <w:b w:val="0"/>
          <w:sz w:val="22"/>
          <w:szCs w:val="22"/>
        </w:rPr>
        <w:t>From 1 January 2021, when the Scheme receives an application that names an institution which had not been previously named, that institution will have a period of six months from their first engagement to join the Scheme. Failure to join the Scheme within six months means that such institutions may be publicly named, will have financial sanctions applied and may lose their charitable status until they join the Scheme.</w:t>
      </w:r>
    </w:p>
    <w:p w:rsidR="00967470" w:rsidRDefault="00967470" w:rsidP="00967470">
      <w:pPr>
        <w:rPr>
          <w:rFonts w:eastAsiaTheme="majorEastAsia" w:cstheme="majorBidi"/>
          <w:bCs/>
        </w:rPr>
      </w:pPr>
      <w:r>
        <w:rPr>
          <w:b/>
        </w:rPr>
        <w:br w:type="page"/>
      </w:r>
    </w:p>
    <w:p w:rsidR="004F6DF4" w:rsidRPr="004F6DF4" w:rsidRDefault="004F6DF4" w:rsidP="00967470">
      <w:pPr>
        <w:pStyle w:val="Heading2"/>
        <w:rPr>
          <w:b w:val="0"/>
          <w:sz w:val="22"/>
          <w:szCs w:val="22"/>
        </w:rPr>
      </w:pPr>
      <w:r w:rsidRPr="004F6DF4">
        <w:rPr>
          <w:b w:val="0"/>
          <w:sz w:val="22"/>
          <w:szCs w:val="22"/>
        </w:rPr>
        <w:lastRenderedPageBreak/>
        <w:t xml:space="preserve">Jehovah's Witnesses, Kenja Communications and Fairbridge Restored Limited were named on 1 July 2020 having not joined the Scheme or signified an intent to join. Jehovah’s Witnesses have begun the process of onboarding into the Scheme, and in March 2021, applications relating to the </w:t>
      </w:r>
      <w:r w:rsidR="00967470">
        <w:rPr>
          <w:b w:val="0"/>
          <w:sz w:val="22"/>
          <w:szCs w:val="22"/>
        </w:rPr>
        <w:t xml:space="preserve">five </w:t>
      </w:r>
      <w:r w:rsidRPr="004F6DF4">
        <w:rPr>
          <w:b w:val="0"/>
          <w:sz w:val="22"/>
          <w:szCs w:val="22"/>
        </w:rPr>
        <w:t>former Fairbridge Farm schools are covered under the funder of last resort provisions. The Scheme will continue to work towards ensuring as few applications are on hold due to an institution not being signed onto the Scheme as possible. A further 23 defunct institutions are currently being considered under funder of last resort provisions.</w:t>
      </w:r>
    </w:p>
    <w:p w:rsidR="004F6DF4" w:rsidRPr="004F6DF4" w:rsidRDefault="004F6DF4" w:rsidP="00967470">
      <w:pPr>
        <w:pStyle w:val="Heading2"/>
        <w:rPr>
          <w:b w:val="0"/>
          <w:sz w:val="22"/>
          <w:szCs w:val="22"/>
        </w:rPr>
      </w:pPr>
      <w:r w:rsidRPr="004F6DF4">
        <w:rPr>
          <w:b w:val="0"/>
          <w:sz w:val="22"/>
          <w:szCs w:val="22"/>
          <w:lang w:val="en-US"/>
        </w:rPr>
        <w:t xml:space="preserve">One of the key priorities for the Scheme is responding to the </w:t>
      </w:r>
      <w:r w:rsidRPr="004F6DF4">
        <w:rPr>
          <w:b w:val="0"/>
          <w:sz w:val="22"/>
          <w:szCs w:val="22"/>
        </w:rPr>
        <w:t xml:space="preserve">Second Anniversary Review of the National Redress Scheme (final report released June 2021). The Government is taking immediate action on 25 of the 38 recommendations. The independent reviewer met with and received submissions from government stakeholders, non-government institutions, support services and survivors. The Review identified significant success in areas of the Scheme and also made recommendations for improvements to the survivor experience. </w:t>
      </w:r>
    </w:p>
    <w:p w:rsidR="00967470" w:rsidRDefault="00967470" w:rsidP="00567797">
      <w:pPr>
        <w:pStyle w:val="Heading2"/>
      </w:pPr>
    </w:p>
    <w:p w:rsidR="00EE7C60" w:rsidRDefault="00567797" w:rsidP="00567797">
      <w:pPr>
        <w:pStyle w:val="Heading2"/>
      </w:pPr>
      <w:r w:rsidRPr="00567797">
        <w:t>Appendix</w:t>
      </w:r>
      <w:r w:rsidR="004F6DF4">
        <w:t xml:space="preserve"> A</w:t>
      </w:r>
    </w:p>
    <w:p w:rsidR="00567797" w:rsidRDefault="003A437C" w:rsidP="003A437C">
      <w:pPr>
        <w:rPr>
          <w:b/>
        </w:rPr>
      </w:pPr>
      <w:r>
        <w:br/>
      </w:r>
      <w:r w:rsidR="00567797" w:rsidRPr="003A437C">
        <w:rPr>
          <w:b/>
        </w:rPr>
        <w:t>Application Timeliness</w:t>
      </w:r>
      <w:r>
        <w:rPr>
          <w:b/>
        </w:rPr>
        <w:t xml:space="preserve"> Table</w:t>
      </w:r>
    </w:p>
    <w:p w:rsidR="003A437C" w:rsidRPr="003A437C" w:rsidRDefault="003A437C" w:rsidP="003A437C">
      <w:pPr>
        <w:rPr>
          <w:b/>
        </w:rPr>
      </w:pPr>
      <w:r>
        <w:rPr>
          <w:b/>
        </w:rPr>
        <w:t>Column 1:  As at 30 September 2020, relating to applications received between 1 July 2019 to 30 June 2020.</w:t>
      </w:r>
    </w:p>
    <w:p w:rsidR="0004132B" w:rsidRPr="00567797" w:rsidRDefault="0004132B" w:rsidP="00567797">
      <w:pPr>
        <w:numPr>
          <w:ilvl w:val="0"/>
          <w:numId w:val="7"/>
        </w:numPr>
      </w:pPr>
      <w:r w:rsidRPr="00567797">
        <w:t>10</w:t>
      </w:r>
      <w:r>
        <w:t xml:space="preserve"> per cent</w:t>
      </w:r>
      <w:r w:rsidR="003A437C">
        <w:t xml:space="preserve"> </w:t>
      </w:r>
      <w:r w:rsidRPr="00567797">
        <w:t xml:space="preserve">received an outcome within 6 months of the date the application was received or the date all the institutions named in </w:t>
      </w:r>
      <w:r w:rsidR="00567797">
        <w:t xml:space="preserve">the </w:t>
      </w:r>
      <w:r w:rsidRPr="00567797">
        <w:t xml:space="preserve">application opted into the Scheme. </w:t>
      </w:r>
    </w:p>
    <w:p w:rsidR="00567797" w:rsidRPr="00567797" w:rsidRDefault="0004132B" w:rsidP="0004132B">
      <w:pPr>
        <w:numPr>
          <w:ilvl w:val="0"/>
          <w:numId w:val="7"/>
        </w:numPr>
      </w:pPr>
      <w:r w:rsidRPr="00567797">
        <w:t>27</w:t>
      </w:r>
      <w:r>
        <w:t xml:space="preserve"> per cent</w:t>
      </w:r>
      <w:r w:rsidRPr="00567797">
        <w:t xml:space="preserve"> received an outcome within 9 months of the date the application was received or the date all the institutions named in the</w:t>
      </w:r>
      <w:r w:rsidR="00567797">
        <w:t xml:space="preserve"> </w:t>
      </w:r>
      <w:r w:rsidR="00567797" w:rsidRPr="00567797">
        <w:t xml:space="preserve">application opted into the Scheme. </w:t>
      </w:r>
    </w:p>
    <w:p w:rsidR="0004132B" w:rsidRDefault="0004132B" w:rsidP="00567797">
      <w:pPr>
        <w:numPr>
          <w:ilvl w:val="0"/>
          <w:numId w:val="8"/>
        </w:numPr>
      </w:pPr>
      <w:r w:rsidRPr="00567797">
        <w:t>46</w:t>
      </w:r>
      <w:r>
        <w:t xml:space="preserve"> per cent</w:t>
      </w:r>
      <w:r w:rsidRPr="00567797">
        <w:t xml:space="preserve"> received an outcome within 12 months of the date the application was received or the date all the institutions named in the</w:t>
      </w:r>
      <w:r>
        <w:t xml:space="preserve"> </w:t>
      </w:r>
      <w:r w:rsidRPr="00567797">
        <w:t xml:space="preserve">application opted into the Scheme. </w:t>
      </w:r>
    </w:p>
    <w:p w:rsidR="003A437C" w:rsidRDefault="003A437C" w:rsidP="003A437C">
      <w:pPr>
        <w:rPr>
          <w:b/>
        </w:rPr>
      </w:pPr>
      <w:r>
        <w:rPr>
          <w:b/>
        </w:rPr>
        <w:t>Column 2</w:t>
      </w:r>
      <w:r w:rsidRPr="003A437C">
        <w:rPr>
          <w:b/>
        </w:rPr>
        <w:t xml:space="preserve">:  As at </w:t>
      </w:r>
      <w:r>
        <w:rPr>
          <w:b/>
        </w:rPr>
        <w:t>31 March 2021</w:t>
      </w:r>
      <w:r w:rsidRPr="003A437C">
        <w:rPr>
          <w:b/>
        </w:rPr>
        <w:t xml:space="preserve">, relating to applications received between </w:t>
      </w:r>
      <w:r>
        <w:rPr>
          <w:b/>
        </w:rPr>
        <w:t>I October 2019</w:t>
      </w:r>
      <w:r w:rsidRPr="003A437C">
        <w:rPr>
          <w:b/>
        </w:rPr>
        <w:t xml:space="preserve"> to 3</w:t>
      </w:r>
      <w:r>
        <w:rPr>
          <w:b/>
        </w:rPr>
        <w:t xml:space="preserve">0 September </w:t>
      </w:r>
      <w:r w:rsidRPr="003A437C">
        <w:rPr>
          <w:b/>
        </w:rPr>
        <w:t>2020.</w:t>
      </w:r>
    </w:p>
    <w:p w:rsidR="003A437C" w:rsidRPr="00567797" w:rsidRDefault="003A437C" w:rsidP="003A437C">
      <w:pPr>
        <w:numPr>
          <w:ilvl w:val="0"/>
          <w:numId w:val="7"/>
        </w:numPr>
      </w:pPr>
      <w:r>
        <w:t xml:space="preserve">21 per cent </w:t>
      </w:r>
      <w:r w:rsidRPr="00567797">
        <w:t xml:space="preserve">received an outcome within 6 months of the date the application was received or the date all the institutions named in </w:t>
      </w:r>
      <w:r>
        <w:t xml:space="preserve">the </w:t>
      </w:r>
      <w:r w:rsidRPr="00567797">
        <w:t xml:space="preserve">application opted into the Scheme. </w:t>
      </w:r>
    </w:p>
    <w:p w:rsidR="003A437C" w:rsidRPr="00567797" w:rsidRDefault="003A437C" w:rsidP="003A437C">
      <w:pPr>
        <w:numPr>
          <w:ilvl w:val="0"/>
          <w:numId w:val="7"/>
        </w:numPr>
      </w:pPr>
      <w:r>
        <w:t>47 per cent</w:t>
      </w:r>
      <w:r w:rsidRPr="00567797">
        <w:t xml:space="preserve"> received an outcome within 9 months of the date the application was received or the date all the institutions named in the</w:t>
      </w:r>
      <w:r>
        <w:t xml:space="preserve"> </w:t>
      </w:r>
      <w:r w:rsidRPr="00567797">
        <w:t xml:space="preserve">application opted into the Scheme. </w:t>
      </w:r>
    </w:p>
    <w:p w:rsidR="003A437C" w:rsidRPr="00967470" w:rsidRDefault="003A437C" w:rsidP="00967470">
      <w:pPr>
        <w:numPr>
          <w:ilvl w:val="0"/>
          <w:numId w:val="8"/>
        </w:numPr>
      </w:pPr>
      <w:r>
        <w:t>61 per cent</w:t>
      </w:r>
      <w:r w:rsidRPr="00567797">
        <w:t xml:space="preserve"> received an outcome within 12 months of the date the application was received or the date all the institutions named in the</w:t>
      </w:r>
      <w:r>
        <w:t xml:space="preserve"> </w:t>
      </w:r>
      <w:r w:rsidRPr="00567797">
        <w:t xml:space="preserve">application opted into the Scheme. </w:t>
      </w:r>
    </w:p>
    <w:p w:rsidR="003A437C" w:rsidRDefault="003A437C" w:rsidP="00967470">
      <w:pPr>
        <w:pStyle w:val="Heading2"/>
      </w:pPr>
      <w:r>
        <w:lastRenderedPageBreak/>
        <w:t>Appendix B</w:t>
      </w:r>
    </w:p>
    <w:p w:rsidR="003A437C" w:rsidRPr="003A437C" w:rsidRDefault="00567797" w:rsidP="003A437C">
      <w:pPr>
        <w:pStyle w:val="Heading3"/>
      </w:pPr>
      <w:r w:rsidRPr="00567797">
        <w:t>Application Progress Summary</w:t>
      </w:r>
      <w:r w:rsidR="003A437C">
        <w:t xml:space="preserve"> Table</w:t>
      </w:r>
      <w:r w:rsidR="003A437C">
        <w:br/>
      </w:r>
    </w:p>
    <w:p w:rsidR="003A437C" w:rsidRPr="003A437C" w:rsidRDefault="003A437C" w:rsidP="003A437C">
      <w:pPr>
        <w:rPr>
          <w:b/>
        </w:rPr>
      </w:pPr>
      <w:r>
        <w:rPr>
          <w:b/>
        </w:rPr>
        <w:t>Column 1:  As at 30 September 2020, relating to applications received between 1 July 2019 to 30 June 2020.</w:t>
      </w:r>
    </w:p>
    <w:p w:rsidR="003A437C" w:rsidRDefault="0004132B" w:rsidP="00E270F7">
      <w:pPr>
        <w:numPr>
          <w:ilvl w:val="0"/>
          <w:numId w:val="9"/>
        </w:numPr>
      </w:pPr>
      <w:r w:rsidRPr="00567797">
        <w:t>47</w:t>
      </w:r>
      <w:r>
        <w:t xml:space="preserve"> per cent</w:t>
      </w:r>
      <w:r w:rsidRPr="00567797">
        <w:t xml:space="preserve"> of applications where no outcome has been issued against the number of applications received and are not on hold.</w:t>
      </w:r>
      <w:r>
        <w:t xml:space="preserve"> </w:t>
      </w:r>
    </w:p>
    <w:p w:rsidR="0004132B" w:rsidRPr="00567797" w:rsidRDefault="0004132B" w:rsidP="00E270F7">
      <w:pPr>
        <w:numPr>
          <w:ilvl w:val="0"/>
          <w:numId w:val="9"/>
        </w:numPr>
      </w:pPr>
      <w:r w:rsidRPr="00567797">
        <w:t>11</w:t>
      </w:r>
      <w:r>
        <w:t xml:space="preserve"> per cent</w:t>
      </w:r>
      <w:r w:rsidRPr="00567797">
        <w:t xml:space="preserve"> of applications on hold against the number of applications received as at reporting date. </w:t>
      </w:r>
    </w:p>
    <w:p w:rsidR="003A437C" w:rsidRDefault="0004132B" w:rsidP="00567797">
      <w:pPr>
        <w:numPr>
          <w:ilvl w:val="0"/>
          <w:numId w:val="9"/>
        </w:numPr>
      </w:pPr>
      <w:r w:rsidRPr="00567797">
        <w:t>42</w:t>
      </w:r>
      <w:r>
        <w:t xml:space="preserve"> per cent</w:t>
      </w:r>
      <w:r w:rsidRPr="00567797">
        <w:t xml:space="preserve"> of applications with an outcome issued against the number of applications received as at reporting date.</w:t>
      </w:r>
    </w:p>
    <w:p w:rsidR="003A437C" w:rsidRDefault="003A437C" w:rsidP="003A437C">
      <w:pPr>
        <w:rPr>
          <w:b/>
        </w:rPr>
      </w:pPr>
      <w:r>
        <w:rPr>
          <w:b/>
        </w:rPr>
        <w:t xml:space="preserve">Column 2:  </w:t>
      </w:r>
      <w:r w:rsidRPr="003A437C">
        <w:rPr>
          <w:b/>
        </w:rPr>
        <w:t xml:space="preserve">As at </w:t>
      </w:r>
      <w:r>
        <w:rPr>
          <w:b/>
        </w:rPr>
        <w:t>31 March 2021</w:t>
      </w:r>
      <w:r w:rsidRPr="003A437C">
        <w:rPr>
          <w:b/>
        </w:rPr>
        <w:t xml:space="preserve">, relating to applications received between </w:t>
      </w:r>
      <w:r>
        <w:rPr>
          <w:b/>
        </w:rPr>
        <w:t>I October 2019</w:t>
      </w:r>
      <w:r w:rsidRPr="003A437C">
        <w:rPr>
          <w:b/>
        </w:rPr>
        <w:t xml:space="preserve"> to 3</w:t>
      </w:r>
      <w:r>
        <w:rPr>
          <w:b/>
        </w:rPr>
        <w:t xml:space="preserve">0 September </w:t>
      </w:r>
      <w:r w:rsidRPr="003A437C">
        <w:rPr>
          <w:b/>
        </w:rPr>
        <w:t>2020.</w:t>
      </w:r>
    </w:p>
    <w:p w:rsidR="003A437C" w:rsidRDefault="003A437C" w:rsidP="003A437C">
      <w:pPr>
        <w:numPr>
          <w:ilvl w:val="0"/>
          <w:numId w:val="9"/>
        </w:numPr>
      </w:pPr>
      <w:r>
        <w:t>31 per cent</w:t>
      </w:r>
      <w:r w:rsidRPr="00567797">
        <w:t xml:space="preserve"> of applications where no outcome has been issued against the number of applications received and are not on hold.</w:t>
      </w:r>
      <w:r>
        <w:t xml:space="preserve"> </w:t>
      </w:r>
    </w:p>
    <w:p w:rsidR="003A437C" w:rsidRPr="00567797" w:rsidRDefault="003A437C" w:rsidP="003A437C">
      <w:pPr>
        <w:numPr>
          <w:ilvl w:val="0"/>
          <w:numId w:val="9"/>
        </w:numPr>
      </w:pPr>
      <w:r>
        <w:t>9 per cent</w:t>
      </w:r>
      <w:r w:rsidRPr="00567797">
        <w:t xml:space="preserve"> of applications on hold against the number of applications received as at reporting date. </w:t>
      </w:r>
    </w:p>
    <w:p w:rsidR="0004132B" w:rsidRPr="00567797" w:rsidRDefault="003A437C" w:rsidP="003A437C">
      <w:pPr>
        <w:numPr>
          <w:ilvl w:val="0"/>
          <w:numId w:val="9"/>
        </w:numPr>
      </w:pPr>
      <w:r>
        <w:t>60 per cent</w:t>
      </w:r>
      <w:r w:rsidRPr="00567797">
        <w:t xml:space="preserve"> of applications with an outcome issued against the number of applications received as at reporting date. </w:t>
      </w:r>
    </w:p>
    <w:p w:rsidR="00967470" w:rsidRDefault="00967470" w:rsidP="00E270F7">
      <w:pPr>
        <w:pStyle w:val="Heading3"/>
      </w:pPr>
    </w:p>
    <w:p w:rsidR="00E270F7" w:rsidRDefault="00E270F7" w:rsidP="00967470">
      <w:pPr>
        <w:pStyle w:val="Heading2"/>
      </w:pPr>
      <w:r>
        <w:t>Appendix C</w:t>
      </w:r>
    </w:p>
    <w:p w:rsidR="00E270F7" w:rsidRPr="003A437C" w:rsidRDefault="00E270F7" w:rsidP="00E270F7">
      <w:pPr>
        <w:pStyle w:val="Heading3"/>
      </w:pPr>
      <w:r>
        <w:t>Outcome acceptance summary table</w:t>
      </w:r>
      <w:r>
        <w:br/>
      </w:r>
    </w:p>
    <w:p w:rsidR="00E270F7" w:rsidRPr="003A437C" w:rsidRDefault="00E270F7" w:rsidP="00E270F7">
      <w:pPr>
        <w:rPr>
          <w:b/>
        </w:rPr>
      </w:pPr>
      <w:r>
        <w:rPr>
          <w:b/>
        </w:rPr>
        <w:t>Column 1:  As at 30 September 2020 for the life of the Scheme.</w:t>
      </w:r>
    </w:p>
    <w:p w:rsidR="00567797" w:rsidRPr="00567797" w:rsidRDefault="0004132B" w:rsidP="0004132B">
      <w:pPr>
        <w:numPr>
          <w:ilvl w:val="0"/>
          <w:numId w:val="11"/>
        </w:numPr>
      </w:pPr>
      <w:r w:rsidRPr="00567797">
        <w:t>985 applicants</w:t>
      </w:r>
      <w:r w:rsidR="00E270F7">
        <w:t xml:space="preserve"> who have been</w:t>
      </w:r>
      <w:r w:rsidRPr="00567797">
        <w:t xml:space="preserve"> issued an outcome have responded to their offer of redress and have accepted the offer of redress.</w:t>
      </w:r>
      <w:r w:rsidR="00567797">
        <w:t xml:space="preserve"> </w:t>
      </w:r>
    </w:p>
    <w:p w:rsidR="00E270F7" w:rsidRDefault="0004132B" w:rsidP="00E270F7">
      <w:pPr>
        <w:numPr>
          <w:ilvl w:val="0"/>
          <w:numId w:val="12"/>
        </w:numPr>
      </w:pPr>
      <w:r w:rsidRPr="00567797">
        <w:t xml:space="preserve">692 applicants </w:t>
      </w:r>
      <w:r w:rsidR="00E270F7">
        <w:t>who hav</w:t>
      </w:r>
      <w:r w:rsidRPr="00567797">
        <w:t>e been issued an outcome have responded requesting counselling and psychological care (CPC), either in the form of a</w:t>
      </w:r>
      <w:r>
        <w:t xml:space="preserve"> </w:t>
      </w:r>
      <w:r w:rsidRPr="00567797">
        <w:t xml:space="preserve">CPC referral or a payment. </w:t>
      </w:r>
    </w:p>
    <w:p w:rsidR="0004132B" w:rsidRPr="00567797" w:rsidRDefault="00E270F7" w:rsidP="00E270F7">
      <w:pPr>
        <w:numPr>
          <w:ilvl w:val="0"/>
          <w:numId w:val="12"/>
        </w:numPr>
      </w:pPr>
      <w:r>
        <w:t>575 applicants</w:t>
      </w:r>
      <w:r w:rsidR="0004132B" w:rsidRPr="00567797">
        <w:t xml:space="preserve"> who have been issued an outcome have requested a direct personal response from at least </w:t>
      </w:r>
      <w:r>
        <w:t>one</w:t>
      </w:r>
      <w:r w:rsidR="0004132B" w:rsidRPr="00567797">
        <w:t xml:space="preserve"> responsible </w:t>
      </w:r>
      <w:r>
        <w:t>institution</w:t>
      </w:r>
      <w:r w:rsidR="0004132B" w:rsidRPr="00567797">
        <w:t>.</w:t>
      </w:r>
    </w:p>
    <w:p w:rsidR="00E270F7" w:rsidRDefault="0004132B" w:rsidP="00E270F7">
      <w:pPr>
        <w:numPr>
          <w:ilvl w:val="0"/>
          <w:numId w:val="13"/>
        </w:numPr>
      </w:pPr>
      <w:r w:rsidRPr="00567797">
        <w:t xml:space="preserve">289 applicants </w:t>
      </w:r>
      <w:r w:rsidR="00E270F7">
        <w:t xml:space="preserve">who </w:t>
      </w:r>
      <w:r w:rsidRPr="00567797">
        <w:t xml:space="preserve">have not yet responded to their offer of redress. </w:t>
      </w:r>
    </w:p>
    <w:p w:rsidR="00E270F7" w:rsidRPr="00E270F7" w:rsidRDefault="00E270F7" w:rsidP="00E270F7">
      <w:pPr>
        <w:rPr>
          <w:b/>
        </w:rPr>
      </w:pPr>
      <w:r>
        <w:rPr>
          <w:b/>
        </w:rPr>
        <w:t>Column 2</w:t>
      </w:r>
      <w:r w:rsidRPr="00E270F7">
        <w:rPr>
          <w:b/>
        </w:rPr>
        <w:t xml:space="preserve">:  As at </w:t>
      </w:r>
      <w:r>
        <w:rPr>
          <w:b/>
        </w:rPr>
        <w:t>31</w:t>
      </w:r>
      <w:r w:rsidRPr="00E270F7">
        <w:rPr>
          <w:b/>
        </w:rPr>
        <w:t xml:space="preserve"> </w:t>
      </w:r>
      <w:r>
        <w:rPr>
          <w:b/>
        </w:rPr>
        <w:t>March 2921</w:t>
      </w:r>
      <w:r w:rsidRPr="00E270F7">
        <w:rPr>
          <w:b/>
        </w:rPr>
        <w:t xml:space="preserve"> for the life of the Scheme.</w:t>
      </w:r>
    </w:p>
    <w:p w:rsidR="00E270F7" w:rsidRPr="00567797" w:rsidRDefault="00E270F7" w:rsidP="00E270F7">
      <w:pPr>
        <w:numPr>
          <w:ilvl w:val="0"/>
          <w:numId w:val="11"/>
        </w:numPr>
      </w:pPr>
      <w:r>
        <w:t>1,594</w:t>
      </w:r>
      <w:r w:rsidRPr="00567797">
        <w:t xml:space="preserve"> applicants</w:t>
      </w:r>
      <w:r>
        <w:t xml:space="preserve"> who have been</w:t>
      </w:r>
      <w:r w:rsidRPr="00567797">
        <w:t xml:space="preserve"> issued an outcome have responded to their offer of redress and have accepted the offer of redress.</w:t>
      </w:r>
      <w:r>
        <w:t xml:space="preserve"> </w:t>
      </w:r>
    </w:p>
    <w:p w:rsidR="00E270F7" w:rsidRDefault="00E270F7" w:rsidP="00E270F7">
      <w:pPr>
        <w:numPr>
          <w:ilvl w:val="0"/>
          <w:numId w:val="12"/>
        </w:numPr>
      </w:pPr>
      <w:r>
        <w:lastRenderedPageBreak/>
        <w:t xml:space="preserve">1,175 </w:t>
      </w:r>
      <w:r w:rsidRPr="00567797">
        <w:t xml:space="preserve">applicants </w:t>
      </w:r>
      <w:r>
        <w:t>who hav</w:t>
      </w:r>
      <w:r w:rsidRPr="00567797">
        <w:t>e been issued an outcome have responded requesting counselling and psychological care (CPC), either in the form of a</w:t>
      </w:r>
      <w:r>
        <w:t xml:space="preserve"> </w:t>
      </w:r>
      <w:r w:rsidRPr="00567797">
        <w:t xml:space="preserve">CPC referral or a payment. </w:t>
      </w:r>
    </w:p>
    <w:p w:rsidR="00E270F7" w:rsidRPr="00567797" w:rsidRDefault="00E270F7" w:rsidP="00E270F7">
      <w:pPr>
        <w:numPr>
          <w:ilvl w:val="0"/>
          <w:numId w:val="12"/>
        </w:numPr>
      </w:pPr>
      <w:r>
        <w:t>956 applicants</w:t>
      </w:r>
      <w:r w:rsidRPr="00567797">
        <w:t xml:space="preserve"> who have been issued an outcome have requested a direct personal response from at least </w:t>
      </w:r>
      <w:r>
        <w:t>one</w:t>
      </w:r>
      <w:r w:rsidRPr="00567797">
        <w:t xml:space="preserve"> responsible </w:t>
      </w:r>
      <w:r>
        <w:t>institution</w:t>
      </w:r>
      <w:r w:rsidRPr="00567797">
        <w:t>.</w:t>
      </w:r>
    </w:p>
    <w:p w:rsidR="00E270F7" w:rsidRDefault="00E270F7" w:rsidP="00E270F7">
      <w:pPr>
        <w:numPr>
          <w:ilvl w:val="0"/>
          <w:numId w:val="13"/>
        </w:numPr>
      </w:pPr>
      <w:r w:rsidRPr="00567797">
        <w:t>2</w:t>
      </w:r>
      <w:r>
        <w:t>96</w:t>
      </w:r>
      <w:r w:rsidRPr="00567797">
        <w:t xml:space="preserve"> applicants </w:t>
      </w:r>
      <w:r>
        <w:t xml:space="preserve">who </w:t>
      </w:r>
      <w:r w:rsidRPr="00567797">
        <w:t xml:space="preserve">have not yet responded to their offer of redress. </w:t>
      </w:r>
    </w:p>
    <w:p w:rsidR="00262211" w:rsidRDefault="00262211" w:rsidP="00E270F7">
      <w:pPr>
        <w:pStyle w:val="Heading2"/>
      </w:pPr>
    </w:p>
    <w:p w:rsidR="00E270F7" w:rsidRDefault="00E270F7" w:rsidP="00E270F7">
      <w:pPr>
        <w:pStyle w:val="Heading2"/>
      </w:pPr>
      <w:r w:rsidRPr="00567797">
        <w:t xml:space="preserve">Appendix </w:t>
      </w:r>
      <w:r>
        <w:t>D</w:t>
      </w:r>
    </w:p>
    <w:p w:rsidR="00E270F7" w:rsidRPr="00E270F7" w:rsidRDefault="00E270F7" w:rsidP="00E270F7">
      <w:pPr>
        <w:pStyle w:val="Heading3"/>
        <w:spacing w:after="120"/>
      </w:pPr>
      <w:r w:rsidRPr="00E270F7">
        <w:t>Institutional Engagement Table</w:t>
      </w:r>
    </w:p>
    <w:p w:rsidR="00E270F7" w:rsidRPr="003A437C" w:rsidRDefault="00E270F7" w:rsidP="00E270F7">
      <w:pPr>
        <w:rPr>
          <w:b/>
        </w:rPr>
      </w:pPr>
      <w:r>
        <w:rPr>
          <w:b/>
        </w:rPr>
        <w:t>Column 1:  As at 30 September 2020 for the life of the Scheme.</w:t>
      </w:r>
    </w:p>
    <w:p w:rsidR="00E270F7" w:rsidRDefault="0004132B" w:rsidP="00E270F7">
      <w:pPr>
        <w:numPr>
          <w:ilvl w:val="0"/>
          <w:numId w:val="13"/>
        </w:numPr>
      </w:pPr>
      <w:r w:rsidRPr="00567797">
        <w:t xml:space="preserve">272 NGIs have opted into the Scheme, in addition to all Commonwealth, state and territory institutions. </w:t>
      </w:r>
    </w:p>
    <w:p w:rsidR="0004132B" w:rsidRPr="00567797" w:rsidRDefault="0004132B" w:rsidP="00E270F7">
      <w:pPr>
        <w:numPr>
          <w:ilvl w:val="0"/>
          <w:numId w:val="13"/>
        </w:numPr>
      </w:pPr>
      <w:r w:rsidRPr="00567797">
        <w:t>10 institutions have been on boarded into the</w:t>
      </w:r>
      <w:r>
        <w:t xml:space="preserve"> </w:t>
      </w:r>
      <w:r w:rsidRPr="00567797">
        <w:t>Scheme under the Funder of Last Resort arrangement.</w:t>
      </w:r>
    </w:p>
    <w:p w:rsidR="0004132B" w:rsidRPr="00567797" w:rsidRDefault="0004132B" w:rsidP="00567797">
      <w:pPr>
        <w:numPr>
          <w:ilvl w:val="0"/>
          <w:numId w:val="13"/>
        </w:numPr>
      </w:pPr>
      <w:r w:rsidRPr="00567797">
        <w:t>545 applications are on hold due to an institution not opted into the Scheme.</w:t>
      </w:r>
    </w:p>
    <w:p w:rsidR="0004132B" w:rsidRPr="00567797" w:rsidRDefault="0004132B" w:rsidP="00567797">
      <w:pPr>
        <w:numPr>
          <w:ilvl w:val="0"/>
          <w:numId w:val="13"/>
        </w:numPr>
      </w:pPr>
      <w:r w:rsidRPr="00567797">
        <w:t>0 institutions have left the Scheme.</w:t>
      </w:r>
    </w:p>
    <w:p w:rsidR="00E270F7" w:rsidRPr="003A437C" w:rsidRDefault="00E270F7" w:rsidP="00E270F7">
      <w:pPr>
        <w:rPr>
          <w:b/>
        </w:rPr>
      </w:pPr>
      <w:r>
        <w:rPr>
          <w:b/>
        </w:rPr>
        <w:t>Column 2:  As at 31 March 2021 for the life of the Scheme.</w:t>
      </w:r>
    </w:p>
    <w:p w:rsidR="00E270F7" w:rsidRDefault="00E270F7" w:rsidP="00E270F7">
      <w:pPr>
        <w:numPr>
          <w:ilvl w:val="0"/>
          <w:numId w:val="13"/>
        </w:numPr>
      </w:pPr>
      <w:r>
        <w:t>459</w:t>
      </w:r>
      <w:r w:rsidRPr="00567797">
        <w:t xml:space="preserve"> NGIs have opted into the Scheme, in addition to all Commonwealth, state and territory institutions. </w:t>
      </w:r>
    </w:p>
    <w:p w:rsidR="00E270F7" w:rsidRPr="00567797" w:rsidRDefault="00E270F7" w:rsidP="00E270F7">
      <w:pPr>
        <w:numPr>
          <w:ilvl w:val="0"/>
          <w:numId w:val="13"/>
        </w:numPr>
      </w:pPr>
      <w:r>
        <w:t>23</w:t>
      </w:r>
      <w:r w:rsidRPr="00567797">
        <w:t xml:space="preserve"> institutions have been on boarded into the</w:t>
      </w:r>
      <w:r>
        <w:t xml:space="preserve"> </w:t>
      </w:r>
      <w:r w:rsidRPr="00567797">
        <w:t>Scheme under the Funder of Last Resort arrangement.</w:t>
      </w:r>
    </w:p>
    <w:p w:rsidR="00E270F7" w:rsidRPr="00567797" w:rsidRDefault="00E270F7" w:rsidP="00E270F7">
      <w:pPr>
        <w:numPr>
          <w:ilvl w:val="0"/>
          <w:numId w:val="13"/>
        </w:numPr>
      </w:pPr>
      <w:r>
        <w:t>203</w:t>
      </w:r>
      <w:r w:rsidRPr="00567797">
        <w:t xml:space="preserve"> applications are on hold due to an institution not opted into the Scheme.</w:t>
      </w:r>
    </w:p>
    <w:p w:rsidR="00E270F7" w:rsidRDefault="00E270F7" w:rsidP="00E270F7">
      <w:pPr>
        <w:numPr>
          <w:ilvl w:val="0"/>
          <w:numId w:val="13"/>
        </w:numPr>
      </w:pPr>
      <w:r>
        <w:t>7</w:t>
      </w:r>
      <w:r w:rsidRPr="00567797">
        <w:t xml:space="preserve"> institutions have left the Scheme.</w:t>
      </w:r>
    </w:p>
    <w:p w:rsidR="00567797" w:rsidRDefault="0004132B" w:rsidP="00E270F7">
      <w:pPr>
        <w:numPr>
          <w:ilvl w:val="0"/>
          <w:numId w:val="15"/>
        </w:numPr>
      </w:pPr>
      <w:r w:rsidRPr="00567797">
        <w:t>564 applicants are from a rural or remote area based on their residential postcode and used a Redress Support Service in preparing their application.</w:t>
      </w:r>
    </w:p>
    <w:p w:rsidR="00B41018" w:rsidRDefault="00B41018" w:rsidP="00B41018"/>
    <w:p w:rsidR="00B41018" w:rsidRPr="00967470" w:rsidRDefault="00B41018" w:rsidP="00B41018">
      <w:pPr>
        <w:rPr>
          <w:b/>
        </w:rPr>
      </w:pPr>
      <w:r w:rsidRPr="00967470">
        <w:rPr>
          <w:b/>
        </w:rPr>
        <w:t>END OF REPORT</w:t>
      </w:r>
    </w:p>
    <w:sectPr w:rsidR="00B41018" w:rsidRPr="00967470" w:rsidSect="00D051AB">
      <w:headerReference w:type="default" r:id="rId8"/>
      <w:footerReference w:type="default" r:id="rId9"/>
      <w:headerReference w:type="firs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F7" w:rsidRDefault="00E270F7" w:rsidP="00B04ED8">
      <w:pPr>
        <w:spacing w:after="0" w:line="240" w:lineRule="auto"/>
      </w:pPr>
      <w:r>
        <w:separator/>
      </w:r>
    </w:p>
  </w:endnote>
  <w:endnote w:type="continuationSeparator" w:id="0">
    <w:p w:rsidR="00E270F7" w:rsidRDefault="00E270F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28175"/>
      <w:docPartObj>
        <w:docPartGallery w:val="Page Numbers (Bottom of Page)"/>
        <w:docPartUnique/>
      </w:docPartObj>
    </w:sdtPr>
    <w:sdtEndPr>
      <w:rPr>
        <w:color w:val="7F7F7F" w:themeColor="background1" w:themeShade="7F"/>
        <w:spacing w:val="60"/>
      </w:rPr>
    </w:sdtEndPr>
    <w:sdtContent>
      <w:p w:rsidR="00E270F7" w:rsidRDefault="00E270F7" w:rsidP="00464BF9">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482931">
          <w:rPr>
            <w:noProof/>
          </w:rPr>
          <w:t>12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F7" w:rsidRDefault="00E270F7" w:rsidP="00D051AB">
    <w:pPr>
      <w:pStyle w:val="Header"/>
    </w:pPr>
  </w:p>
  <w:p w:rsidR="00E270F7" w:rsidRDefault="00E270F7" w:rsidP="00D051AB">
    <w:pPr>
      <w:pStyle w:val="Header"/>
    </w:pPr>
  </w:p>
  <w:p w:rsidR="00E270F7" w:rsidRDefault="00E270F7" w:rsidP="00D051AB">
    <w:pPr>
      <w:pStyle w:val="Footer"/>
    </w:pPr>
  </w:p>
  <w:p w:rsidR="00E270F7" w:rsidRDefault="00E270F7" w:rsidP="00D051AB"/>
  <w:sdt>
    <w:sdtPr>
      <w:id w:val="-11920164"/>
      <w:docPartObj>
        <w:docPartGallery w:val="Page Numbers (Bottom of Page)"/>
        <w:docPartUnique/>
      </w:docPartObj>
    </w:sdtPr>
    <w:sdtEndPr>
      <w:rPr>
        <w:color w:val="7F7F7F" w:themeColor="background1" w:themeShade="7F"/>
        <w:spacing w:val="60"/>
      </w:rPr>
    </w:sdtEndPr>
    <w:sdtContent>
      <w:p w:rsidR="00E270F7" w:rsidRDefault="00E270F7" w:rsidP="00D051A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482931">
          <w:rPr>
            <w:noProof/>
          </w:rPr>
          <w:t>1</w:t>
        </w:r>
        <w:r>
          <w:rPr>
            <w:noProof/>
          </w:rPr>
          <w:fldChar w:fldCharType="end"/>
        </w:r>
        <w:r>
          <w:t xml:space="preserve"> | </w:t>
        </w:r>
        <w:r>
          <w:rPr>
            <w:color w:val="7F7F7F" w:themeColor="background1" w:themeShade="7F"/>
            <w:spacing w:val="60"/>
          </w:rPr>
          <w:t>Page</w:t>
        </w:r>
      </w:p>
    </w:sdtContent>
  </w:sdt>
  <w:p w:rsidR="00E270F7" w:rsidRDefault="00E2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F7" w:rsidRDefault="00E270F7" w:rsidP="00B04ED8">
      <w:pPr>
        <w:spacing w:after="0" w:line="240" w:lineRule="auto"/>
      </w:pPr>
      <w:r>
        <w:separator/>
      </w:r>
    </w:p>
  </w:footnote>
  <w:footnote w:type="continuationSeparator" w:id="0">
    <w:p w:rsidR="00E270F7" w:rsidRDefault="00E270F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F7" w:rsidRDefault="00E270F7" w:rsidP="00464BF9">
    <w:pPr>
      <w:pStyle w:val="Header"/>
    </w:pPr>
    <w:r>
      <w:rPr>
        <w:noProof/>
        <w:lang w:eastAsia="en-AU"/>
      </w:rPr>
      <w:drawing>
        <wp:inline distT="0" distB="0" distL="0" distR="0" wp14:anchorId="2BA4AF98" wp14:editId="67F13375">
          <wp:extent cx="5731510" cy="55245"/>
          <wp:effectExtent l="0" t="0" r="2540" b="1905"/>
          <wp:docPr id="15" name="Picture 1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1">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F7" w:rsidRDefault="00E270F7" w:rsidP="00D051AB">
    <w:pPr>
      <w:pStyle w:val="Header"/>
    </w:pPr>
    <w:r>
      <w:rPr>
        <w:noProof/>
        <w:lang w:eastAsia="en-AU"/>
      </w:rPr>
      <w:drawing>
        <wp:inline distT="0" distB="0" distL="0" distR="0" wp14:anchorId="06883C8E" wp14:editId="3387B6CE">
          <wp:extent cx="2378075" cy="787400"/>
          <wp:effectExtent l="0" t="0" r="0" b="0"/>
          <wp:docPr id="16" name="Picture 1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r>
      <w:rPr>
        <w:noProof/>
        <w:lang w:eastAsia="en-AU"/>
      </w:rPr>
      <w:drawing>
        <wp:inline distT="0" distB="0" distL="0" distR="0" wp14:anchorId="787CBE8C" wp14:editId="64A6E629">
          <wp:extent cx="5731510" cy="55245"/>
          <wp:effectExtent l="0" t="0" r="2540" b="1905"/>
          <wp:docPr id="17" name="Picture 1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p w:rsidR="00E270F7" w:rsidRDefault="00E27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494"/>
    <w:multiLevelType w:val="hybridMultilevel"/>
    <w:tmpl w:val="E848AD76"/>
    <w:lvl w:ilvl="0" w:tplc="212C0B62">
      <w:start w:val="1"/>
      <w:numFmt w:val="bullet"/>
      <w:lvlText w:val="•"/>
      <w:lvlJc w:val="left"/>
      <w:pPr>
        <w:tabs>
          <w:tab w:val="num" w:pos="720"/>
        </w:tabs>
        <w:ind w:left="720" w:hanging="360"/>
      </w:pPr>
      <w:rPr>
        <w:rFonts w:ascii="Arial" w:hAnsi="Arial" w:hint="default"/>
      </w:rPr>
    </w:lvl>
    <w:lvl w:ilvl="1" w:tplc="2FB83102" w:tentative="1">
      <w:start w:val="1"/>
      <w:numFmt w:val="bullet"/>
      <w:lvlText w:val="•"/>
      <w:lvlJc w:val="left"/>
      <w:pPr>
        <w:tabs>
          <w:tab w:val="num" w:pos="1440"/>
        </w:tabs>
        <w:ind w:left="1440" w:hanging="360"/>
      </w:pPr>
      <w:rPr>
        <w:rFonts w:ascii="Arial" w:hAnsi="Arial" w:hint="default"/>
      </w:rPr>
    </w:lvl>
    <w:lvl w:ilvl="2" w:tplc="981CFE3A" w:tentative="1">
      <w:start w:val="1"/>
      <w:numFmt w:val="bullet"/>
      <w:lvlText w:val="•"/>
      <w:lvlJc w:val="left"/>
      <w:pPr>
        <w:tabs>
          <w:tab w:val="num" w:pos="2160"/>
        </w:tabs>
        <w:ind w:left="2160" w:hanging="360"/>
      </w:pPr>
      <w:rPr>
        <w:rFonts w:ascii="Arial" w:hAnsi="Arial" w:hint="default"/>
      </w:rPr>
    </w:lvl>
    <w:lvl w:ilvl="3" w:tplc="A73292E8" w:tentative="1">
      <w:start w:val="1"/>
      <w:numFmt w:val="bullet"/>
      <w:lvlText w:val="•"/>
      <w:lvlJc w:val="left"/>
      <w:pPr>
        <w:tabs>
          <w:tab w:val="num" w:pos="2880"/>
        </w:tabs>
        <w:ind w:left="2880" w:hanging="360"/>
      </w:pPr>
      <w:rPr>
        <w:rFonts w:ascii="Arial" w:hAnsi="Arial" w:hint="default"/>
      </w:rPr>
    </w:lvl>
    <w:lvl w:ilvl="4" w:tplc="47F01FBA" w:tentative="1">
      <w:start w:val="1"/>
      <w:numFmt w:val="bullet"/>
      <w:lvlText w:val="•"/>
      <w:lvlJc w:val="left"/>
      <w:pPr>
        <w:tabs>
          <w:tab w:val="num" w:pos="3600"/>
        </w:tabs>
        <w:ind w:left="3600" w:hanging="360"/>
      </w:pPr>
      <w:rPr>
        <w:rFonts w:ascii="Arial" w:hAnsi="Arial" w:hint="default"/>
      </w:rPr>
    </w:lvl>
    <w:lvl w:ilvl="5" w:tplc="9F2E3A0C" w:tentative="1">
      <w:start w:val="1"/>
      <w:numFmt w:val="bullet"/>
      <w:lvlText w:val="•"/>
      <w:lvlJc w:val="left"/>
      <w:pPr>
        <w:tabs>
          <w:tab w:val="num" w:pos="4320"/>
        </w:tabs>
        <w:ind w:left="4320" w:hanging="360"/>
      </w:pPr>
      <w:rPr>
        <w:rFonts w:ascii="Arial" w:hAnsi="Arial" w:hint="default"/>
      </w:rPr>
    </w:lvl>
    <w:lvl w:ilvl="6" w:tplc="656AEB70" w:tentative="1">
      <w:start w:val="1"/>
      <w:numFmt w:val="bullet"/>
      <w:lvlText w:val="•"/>
      <w:lvlJc w:val="left"/>
      <w:pPr>
        <w:tabs>
          <w:tab w:val="num" w:pos="5040"/>
        </w:tabs>
        <w:ind w:left="5040" w:hanging="360"/>
      </w:pPr>
      <w:rPr>
        <w:rFonts w:ascii="Arial" w:hAnsi="Arial" w:hint="default"/>
      </w:rPr>
    </w:lvl>
    <w:lvl w:ilvl="7" w:tplc="CE0C274E" w:tentative="1">
      <w:start w:val="1"/>
      <w:numFmt w:val="bullet"/>
      <w:lvlText w:val="•"/>
      <w:lvlJc w:val="left"/>
      <w:pPr>
        <w:tabs>
          <w:tab w:val="num" w:pos="5760"/>
        </w:tabs>
        <w:ind w:left="5760" w:hanging="360"/>
      </w:pPr>
      <w:rPr>
        <w:rFonts w:ascii="Arial" w:hAnsi="Arial" w:hint="default"/>
      </w:rPr>
    </w:lvl>
    <w:lvl w:ilvl="8" w:tplc="68BEBC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483893"/>
    <w:multiLevelType w:val="hybridMultilevel"/>
    <w:tmpl w:val="39EC6408"/>
    <w:lvl w:ilvl="0" w:tplc="E7D8D2C4">
      <w:start w:val="1"/>
      <w:numFmt w:val="bullet"/>
      <w:lvlText w:val="•"/>
      <w:lvlJc w:val="left"/>
      <w:pPr>
        <w:tabs>
          <w:tab w:val="num" w:pos="720"/>
        </w:tabs>
        <w:ind w:left="720" w:hanging="360"/>
      </w:pPr>
      <w:rPr>
        <w:rFonts w:ascii="Arial" w:hAnsi="Arial" w:hint="default"/>
      </w:rPr>
    </w:lvl>
    <w:lvl w:ilvl="1" w:tplc="21341B3E" w:tentative="1">
      <w:start w:val="1"/>
      <w:numFmt w:val="bullet"/>
      <w:lvlText w:val="•"/>
      <w:lvlJc w:val="left"/>
      <w:pPr>
        <w:tabs>
          <w:tab w:val="num" w:pos="1440"/>
        </w:tabs>
        <w:ind w:left="1440" w:hanging="360"/>
      </w:pPr>
      <w:rPr>
        <w:rFonts w:ascii="Arial" w:hAnsi="Arial" w:hint="default"/>
      </w:rPr>
    </w:lvl>
    <w:lvl w:ilvl="2" w:tplc="841E16BE" w:tentative="1">
      <w:start w:val="1"/>
      <w:numFmt w:val="bullet"/>
      <w:lvlText w:val="•"/>
      <w:lvlJc w:val="left"/>
      <w:pPr>
        <w:tabs>
          <w:tab w:val="num" w:pos="2160"/>
        </w:tabs>
        <w:ind w:left="2160" w:hanging="360"/>
      </w:pPr>
      <w:rPr>
        <w:rFonts w:ascii="Arial" w:hAnsi="Arial" w:hint="default"/>
      </w:rPr>
    </w:lvl>
    <w:lvl w:ilvl="3" w:tplc="CE3A3E96" w:tentative="1">
      <w:start w:val="1"/>
      <w:numFmt w:val="bullet"/>
      <w:lvlText w:val="•"/>
      <w:lvlJc w:val="left"/>
      <w:pPr>
        <w:tabs>
          <w:tab w:val="num" w:pos="2880"/>
        </w:tabs>
        <w:ind w:left="2880" w:hanging="360"/>
      </w:pPr>
      <w:rPr>
        <w:rFonts w:ascii="Arial" w:hAnsi="Arial" w:hint="default"/>
      </w:rPr>
    </w:lvl>
    <w:lvl w:ilvl="4" w:tplc="692E8B90" w:tentative="1">
      <w:start w:val="1"/>
      <w:numFmt w:val="bullet"/>
      <w:lvlText w:val="•"/>
      <w:lvlJc w:val="left"/>
      <w:pPr>
        <w:tabs>
          <w:tab w:val="num" w:pos="3600"/>
        </w:tabs>
        <w:ind w:left="3600" w:hanging="360"/>
      </w:pPr>
      <w:rPr>
        <w:rFonts w:ascii="Arial" w:hAnsi="Arial" w:hint="default"/>
      </w:rPr>
    </w:lvl>
    <w:lvl w:ilvl="5" w:tplc="89C856AA" w:tentative="1">
      <w:start w:val="1"/>
      <w:numFmt w:val="bullet"/>
      <w:lvlText w:val="•"/>
      <w:lvlJc w:val="left"/>
      <w:pPr>
        <w:tabs>
          <w:tab w:val="num" w:pos="4320"/>
        </w:tabs>
        <w:ind w:left="4320" w:hanging="360"/>
      </w:pPr>
      <w:rPr>
        <w:rFonts w:ascii="Arial" w:hAnsi="Arial" w:hint="default"/>
      </w:rPr>
    </w:lvl>
    <w:lvl w:ilvl="6" w:tplc="0D806496" w:tentative="1">
      <w:start w:val="1"/>
      <w:numFmt w:val="bullet"/>
      <w:lvlText w:val="•"/>
      <w:lvlJc w:val="left"/>
      <w:pPr>
        <w:tabs>
          <w:tab w:val="num" w:pos="5040"/>
        </w:tabs>
        <w:ind w:left="5040" w:hanging="360"/>
      </w:pPr>
      <w:rPr>
        <w:rFonts w:ascii="Arial" w:hAnsi="Arial" w:hint="default"/>
      </w:rPr>
    </w:lvl>
    <w:lvl w:ilvl="7" w:tplc="502862E6" w:tentative="1">
      <w:start w:val="1"/>
      <w:numFmt w:val="bullet"/>
      <w:lvlText w:val="•"/>
      <w:lvlJc w:val="left"/>
      <w:pPr>
        <w:tabs>
          <w:tab w:val="num" w:pos="5760"/>
        </w:tabs>
        <w:ind w:left="5760" w:hanging="360"/>
      </w:pPr>
      <w:rPr>
        <w:rFonts w:ascii="Arial" w:hAnsi="Arial" w:hint="default"/>
      </w:rPr>
    </w:lvl>
    <w:lvl w:ilvl="8" w:tplc="9C7236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73B51"/>
    <w:multiLevelType w:val="hybridMultilevel"/>
    <w:tmpl w:val="9092B31E"/>
    <w:lvl w:ilvl="0" w:tplc="F7482C66">
      <w:start w:val="1"/>
      <w:numFmt w:val="bullet"/>
      <w:lvlText w:val="•"/>
      <w:lvlJc w:val="left"/>
      <w:pPr>
        <w:tabs>
          <w:tab w:val="num" w:pos="720"/>
        </w:tabs>
        <w:ind w:left="720" w:hanging="360"/>
      </w:pPr>
      <w:rPr>
        <w:rFonts w:ascii="Arial" w:hAnsi="Arial" w:hint="default"/>
      </w:rPr>
    </w:lvl>
    <w:lvl w:ilvl="1" w:tplc="95405AAA" w:tentative="1">
      <w:start w:val="1"/>
      <w:numFmt w:val="bullet"/>
      <w:lvlText w:val="•"/>
      <w:lvlJc w:val="left"/>
      <w:pPr>
        <w:tabs>
          <w:tab w:val="num" w:pos="1440"/>
        </w:tabs>
        <w:ind w:left="1440" w:hanging="360"/>
      </w:pPr>
      <w:rPr>
        <w:rFonts w:ascii="Arial" w:hAnsi="Arial" w:hint="default"/>
      </w:rPr>
    </w:lvl>
    <w:lvl w:ilvl="2" w:tplc="B664947C" w:tentative="1">
      <w:start w:val="1"/>
      <w:numFmt w:val="bullet"/>
      <w:lvlText w:val="•"/>
      <w:lvlJc w:val="left"/>
      <w:pPr>
        <w:tabs>
          <w:tab w:val="num" w:pos="2160"/>
        </w:tabs>
        <w:ind w:left="2160" w:hanging="360"/>
      </w:pPr>
      <w:rPr>
        <w:rFonts w:ascii="Arial" w:hAnsi="Arial" w:hint="default"/>
      </w:rPr>
    </w:lvl>
    <w:lvl w:ilvl="3" w:tplc="F3D6F4AE" w:tentative="1">
      <w:start w:val="1"/>
      <w:numFmt w:val="bullet"/>
      <w:lvlText w:val="•"/>
      <w:lvlJc w:val="left"/>
      <w:pPr>
        <w:tabs>
          <w:tab w:val="num" w:pos="2880"/>
        </w:tabs>
        <w:ind w:left="2880" w:hanging="360"/>
      </w:pPr>
      <w:rPr>
        <w:rFonts w:ascii="Arial" w:hAnsi="Arial" w:hint="default"/>
      </w:rPr>
    </w:lvl>
    <w:lvl w:ilvl="4" w:tplc="8278A7CC" w:tentative="1">
      <w:start w:val="1"/>
      <w:numFmt w:val="bullet"/>
      <w:lvlText w:val="•"/>
      <w:lvlJc w:val="left"/>
      <w:pPr>
        <w:tabs>
          <w:tab w:val="num" w:pos="3600"/>
        </w:tabs>
        <w:ind w:left="3600" w:hanging="360"/>
      </w:pPr>
      <w:rPr>
        <w:rFonts w:ascii="Arial" w:hAnsi="Arial" w:hint="default"/>
      </w:rPr>
    </w:lvl>
    <w:lvl w:ilvl="5" w:tplc="EAC4FE34" w:tentative="1">
      <w:start w:val="1"/>
      <w:numFmt w:val="bullet"/>
      <w:lvlText w:val="•"/>
      <w:lvlJc w:val="left"/>
      <w:pPr>
        <w:tabs>
          <w:tab w:val="num" w:pos="4320"/>
        </w:tabs>
        <w:ind w:left="4320" w:hanging="360"/>
      </w:pPr>
      <w:rPr>
        <w:rFonts w:ascii="Arial" w:hAnsi="Arial" w:hint="default"/>
      </w:rPr>
    </w:lvl>
    <w:lvl w:ilvl="6" w:tplc="BB58AE2A" w:tentative="1">
      <w:start w:val="1"/>
      <w:numFmt w:val="bullet"/>
      <w:lvlText w:val="•"/>
      <w:lvlJc w:val="left"/>
      <w:pPr>
        <w:tabs>
          <w:tab w:val="num" w:pos="5040"/>
        </w:tabs>
        <w:ind w:left="5040" w:hanging="360"/>
      </w:pPr>
      <w:rPr>
        <w:rFonts w:ascii="Arial" w:hAnsi="Arial" w:hint="default"/>
      </w:rPr>
    </w:lvl>
    <w:lvl w:ilvl="7" w:tplc="0C905BC6" w:tentative="1">
      <w:start w:val="1"/>
      <w:numFmt w:val="bullet"/>
      <w:lvlText w:val="•"/>
      <w:lvlJc w:val="left"/>
      <w:pPr>
        <w:tabs>
          <w:tab w:val="num" w:pos="5760"/>
        </w:tabs>
        <w:ind w:left="5760" w:hanging="360"/>
      </w:pPr>
      <w:rPr>
        <w:rFonts w:ascii="Arial" w:hAnsi="Arial" w:hint="default"/>
      </w:rPr>
    </w:lvl>
    <w:lvl w:ilvl="8" w:tplc="1DB8A3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5ED"/>
    <w:multiLevelType w:val="hybridMultilevel"/>
    <w:tmpl w:val="050AB27A"/>
    <w:lvl w:ilvl="0" w:tplc="78863FD8">
      <w:start w:val="1"/>
      <w:numFmt w:val="bullet"/>
      <w:lvlText w:val="•"/>
      <w:lvlJc w:val="left"/>
      <w:pPr>
        <w:tabs>
          <w:tab w:val="num" w:pos="720"/>
        </w:tabs>
        <w:ind w:left="720" w:hanging="360"/>
      </w:pPr>
      <w:rPr>
        <w:rFonts w:ascii="Arial" w:hAnsi="Arial" w:hint="default"/>
      </w:rPr>
    </w:lvl>
    <w:lvl w:ilvl="1" w:tplc="B91886D0" w:tentative="1">
      <w:start w:val="1"/>
      <w:numFmt w:val="bullet"/>
      <w:lvlText w:val="•"/>
      <w:lvlJc w:val="left"/>
      <w:pPr>
        <w:tabs>
          <w:tab w:val="num" w:pos="1440"/>
        </w:tabs>
        <w:ind w:left="1440" w:hanging="360"/>
      </w:pPr>
      <w:rPr>
        <w:rFonts w:ascii="Arial" w:hAnsi="Arial" w:hint="default"/>
      </w:rPr>
    </w:lvl>
    <w:lvl w:ilvl="2" w:tplc="823A52D2" w:tentative="1">
      <w:start w:val="1"/>
      <w:numFmt w:val="bullet"/>
      <w:lvlText w:val="•"/>
      <w:lvlJc w:val="left"/>
      <w:pPr>
        <w:tabs>
          <w:tab w:val="num" w:pos="2160"/>
        </w:tabs>
        <w:ind w:left="2160" w:hanging="360"/>
      </w:pPr>
      <w:rPr>
        <w:rFonts w:ascii="Arial" w:hAnsi="Arial" w:hint="default"/>
      </w:rPr>
    </w:lvl>
    <w:lvl w:ilvl="3" w:tplc="C526DD76" w:tentative="1">
      <w:start w:val="1"/>
      <w:numFmt w:val="bullet"/>
      <w:lvlText w:val="•"/>
      <w:lvlJc w:val="left"/>
      <w:pPr>
        <w:tabs>
          <w:tab w:val="num" w:pos="2880"/>
        </w:tabs>
        <w:ind w:left="2880" w:hanging="360"/>
      </w:pPr>
      <w:rPr>
        <w:rFonts w:ascii="Arial" w:hAnsi="Arial" w:hint="default"/>
      </w:rPr>
    </w:lvl>
    <w:lvl w:ilvl="4" w:tplc="B022A02E" w:tentative="1">
      <w:start w:val="1"/>
      <w:numFmt w:val="bullet"/>
      <w:lvlText w:val="•"/>
      <w:lvlJc w:val="left"/>
      <w:pPr>
        <w:tabs>
          <w:tab w:val="num" w:pos="3600"/>
        </w:tabs>
        <w:ind w:left="3600" w:hanging="360"/>
      </w:pPr>
      <w:rPr>
        <w:rFonts w:ascii="Arial" w:hAnsi="Arial" w:hint="default"/>
      </w:rPr>
    </w:lvl>
    <w:lvl w:ilvl="5" w:tplc="B61248F8" w:tentative="1">
      <w:start w:val="1"/>
      <w:numFmt w:val="bullet"/>
      <w:lvlText w:val="•"/>
      <w:lvlJc w:val="left"/>
      <w:pPr>
        <w:tabs>
          <w:tab w:val="num" w:pos="4320"/>
        </w:tabs>
        <w:ind w:left="4320" w:hanging="360"/>
      </w:pPr>
      <w:rPr>
        <w:rFonts w:ascii="Arial" w:hAnsi="Arial" w:hint="default"/>
      </w:rPr>
    </w:lvl>
    <w:lvl w:ilvl="6" w:tplc="E59ACC76" w:tentative="1">
      <w:start w:val="1"/>
      <w:numFmt w:val="bullet"/>
      <w:lvlText w:val="•"/>
      <w:lvlJc w:val="left"/>
      <w:pPr>
        <w:tabs>
          <w:tab w:val="num" w:pos="5040"/>
        </w:tabs>
        <w:ind w:left="5040" w:hanging="360"/>
      </w:pPr>
      <w:rPr>
        <w:rFonts w:ascii="Arial" w:hAnsi="Arial" w:hint="default"/>
      </w:rPr>
    </w:lvl>
    <w:lvl w:ilvl="7" w:tplc="800841D0" w:tentative="1">
      <w:start w:val="1"/>
      <w:numFmt w:val="bullet"/>
      <w:lvlText w:val="•"/>
      <w:lvlJc w:val="left"/>
      <w:pPr>
        <w:tabs>
          <w:tab w:val="num" w:pos="5760"/>
        </w:tabs>
        <w:ind w:left="5760" w:hanging="360"/>
      </w:pPr>
      <w:rPr>
        <w:rFonts w:ascii="Arial" w:hAnsi="Arial" w:hint="default"/>
      </w:rPr>
    </w:lvl>
    <w:lvl w:ilvl="8" w:tplc="271E01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847922"/>
    <w:multiLevelType w:val="hybridMultilevel"/>
    <w:tmpl w:val="AACE4CF0"/>
    <w:lvl w:ilvl="0" w:tplc="EF124800">
      <w:start w:val="1"/>
      <w:numFmt w:val="bullet"/>
      <w:lvlText w:val="•"/>
      <w:lvlJc w:val="left"/>
      <w:pPr>
        <w:tabs>
          <w:tab w:val="num" w:pos="720"/>
        </w:tabs>
        <w:ind w:left="720" w:hanging="360"/>
      </w:pPr>
      <w:rPr>
        <w:rFonts w:ascii="Arial" w:hAnsi="Arial" w:hint="default"/>
      </w:rPr>
    </w:lvl>
    <w:lvl w:ilvl="1" w:tplc="9144855C" w:tentative="1">
      <w:start w:val="1"/>
      <w:numFmt w:val="bullet"/>
      <w:lvlText w:val="•"/>
      <w:lvlJc w:val="left"/>
      <w:pPr>
        <w:tabs>
          <w:tab w:val="num" w:pos="1440"/>
        </w:tabs>
        <w:ind w:left="1440" w:hanging="360"/>
      </w:pPr>
      <w:rPr>
        <w:rFonts w:ascii="Arial" w:hAnsi="Arial" w:hint="default"/>
      </w:rPr>
    </w:lvl>
    <w:lvl w:ilvl="2" w:tplc="B19087A4" w:tentative="1">
      <w:start w:val="1"/>
      <w:numFmt w:val="bullet"/>
      <w:lvlText w:val="•"/>
      <w:lvlJc w:val="left"/>
      <w:pPr>
        <w:tabs>
          <w:tab w:val="num" w:pos="2160"/>
        </w:tabs>
        <w:ind w:left="2160" w:hanging="360"/>
      </w:pPr>
      <w:rPr>
        <w:rFonts w:ascii="Arial" w:hAnsi="Arial" w:hint="default"/>
      </w:rPr>
    </w:lvl>
    <w:lvl w:ilvl="3" w:tplc="216CB5DA" w:tentative="1">
      <w:start w:val="1"/>
      <w:numFmt w:val="bullet"/>
      <w:lvlText w:val="•"/>
      <w:lvlJc w:val="left"/>
      <w:pPr>
        <w:tabs>
          <w:tab w:val="num" w:pos="2880"/>
        </w:tabs>
        <w:ind w:left="2880" w:hanging="360"/>
      </w:pPr>
      <w:rPr>
        <w:rFonts w:ascii="Arial" w:hAnsi="Arial" w:hint="default"/>
      </w:rPr>
    </w:lvl>
    <w:lvl w:ilvl="4" w:tplc="17D49F4C" w:tentative="1">
      <w:start w:val="1"/>
      <w:numFmt w:val="bullet"/>
      <w:lvlText w:val="•"/>
      <w:lvlJc w:val="left"/>
      <w:pPr>
        <w:tabs>
          <w:tab w:val="num" w:pos="3600"/>
        </w:tabs>
        <w:ind w:left="3600" w:hanging="360"/>
      </w:pPr>
      <w:rPr>
        <w:rFonts w:ascii="Arial" w:hAnsi="Arial" w:hint="default"/>
      </w:rPr>
    </w:lvl>
    <w:lvl w:ilvl="5" w:tplc="B090038E" w:tentative="1">
      <w:start w:val="1"/>
      <w:numFmt w:val="bullet"/>
      <w:lvlText w:val="•"/>
      <w:lvlJc w:val="left"/>
      <w:pPr>
        <w:tabs>
          <w:tab w:val="num" w:pos="4320"/>
        </w:tabs>
        <w:ind w:left="4320" w:hanging="360"/>
      </w:pPr>
      <w:rPr>
        <w:rFonts w:ascii="Arial" w:hAnsi="Arial" w:hint="default"/>
      </w:rPr>
    </w:lvl>
    <w:lvl w:ilvl="6" w:tplc="C3761588" w:tentative="1">
      <w:start w:val="1"/>
      <w:numFmt w:val="bullet"/>
      <w:lvlText w:val="•"/>
      <w:lvlJc w:val="left"/>
      <w:pPr>
        <w:tabs>
          <w:tab w:val="num" w:pos="5040"/>
        </w:tabs>
        <w:ind w:left="5040" w:hanging="360"/>
      </w:pPr>
      <w:rPr>
        <w:rFonts w:ascii="Arial" w:hAnsi="Arial" w:hint="default"/>
      </w:rPr>
    </w:lvl>
    <w:lvl w:ilvl="7" w:tplc="63C875D6" w:tentative="1">
      <w:start w:val="1"/>
      <w:numFmt w:val="bullet"/>
      <w:lvlText w:val="•"/>
      <w:lvlJc w:val="left"/>
      <w:pPr>
        <w:tabs>
          <w:tab w:val="num" w:pos="5760"/>
        </w:tabs>
        <w:ind w:left="5760" w:hanging="360"/>
      </w:pPr>
      <w:rPr>
        <w:rFonts w:ascii="Arial" w:hAnsi="Arial" w:hint="default"/>
      </w:rPr>
    </w:lvl>
    <w:lvl w:ilvl="8" w:tplc="341ED2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B2785E"/>
    <w:multiLevelType w:val="hybridMultilevel"/>
    <w:tmpl w:val="DC82ED20"/>
    <w:lvl w:ilvl="0" w:tplc="7CA6632A">
      <w:start w:val="1"/>
      <w:numFmt w:val="bullet"/>
      <w:lvlText w:val="•"/>
      <w:lvlJc w:val="left"/>
      <w:pPr>
        <w:tabs>
          <w:tab w:val="num" w:pos="720"/>
        </w:tabs>
        <w:ind w:left="720" w:hanging="360"/>
      </w:pPr>
      <w:rPr>
        <w:rFonts w:ascii="Arial" w:hAnsi="Arial" w:hint="default"/>
      </w:rPr>
    </w:lvl>
    <w:lvl w:ilvl="1" w:tplc="B44676A4" w:tentative="1">
      <w:start w:val="1"/>
      <w:numFmt w:val="bullet"/>
      <w:lvlText w:val="•"/>
      <w:lvlJc w:val="left"/>
      <w:pPr>
        <w:tabs>
          <w:tab w:val="num" w:pos="1440"/>
        </w:tabs>
        <w:ind w:left="1440" w:hanging="360"/>
      </w:pPr>
      <w:rPr>
        <w:rFonts w:ascii="Arial" w:hAnsi="Arial" w:hint="default"/>
      </w:rPr>
    </w:lvl>
    <w:lvl w:ilvl="2" w:tplc="02FCF064" w:tentative="1">
      <w:start w:val="1"/>
      <w:numFmt w:val="bullet"/>
      <w:lvlText w:val="•"/>
      <w:lvlJc w:val="left"/>
      <w:pPr>
        <w:tabs>
          <w:tab w:val="num" w:pos="2160"/>
        </w:tabs>
        <w:ind w:left="2160" w:hanging="360"/>
      </w:pPr>
      <w:rPr>
        <w:rFonts w:ascii="Arial" w:hAnsi="Arial" w:hint="default"/>
      </w:rPr>
    </w:lvl>
    <w:lvl w:ilvl="3" w:tplc="E21605C6" w:tentative="1">
      <w:start w:val="1"/>
      <w:numFmt w:val="bullet"/>
      <w:lvlText w:val="•"/>
      <w:lvlJc w:val="left"/>
      <w:pPr>
        <w:tabs>
          <w:tab w:val="num" w:pos="2880"/>
        </w:tabs>
        <w:ind w:left="2880" w:hanging="360"/>
      </w:pPr>
      <w:rPr>
        <w:rFonts w:ascii="Arial" w:hAnsi="Arial" w:hint="default"/>
      </w:rPr>
    </w:lvl>
    <w:lvl w:ilvl="4" w:tplc="D11CAD54" w:tentative="1">
      <w:start w:val="1"/>
      <w:numFmt w:val="bullet"/>
      <w:lvlText w:val="•"/>
      <w:lvlJc w:val="left"/>
      <w:pPr>
        <w:tabs>
          <w:tab w:val="num" w:pos="3600"/>
        </w:tabs>
        <w:ind w:left="3600" w:hanging="360"/>
      </w:pPr>
      <w:rPr>
        <w:rFonts w:ascii="Arial" w:hAnsi="Arial" w:hint="default"/>
      </w:rPr>
    </w:lvl>
    <w:lvl w:ilvl="5" w:tplc="E2FC8706" w:tentative="1">
      <w:start w:val="1"/>
      <w:numFmt w:val="bullet"/>
      <w:lvlText w:val="•"/>
      <w:lvlJc w:val="left"/>
      <w:pPr>
        <w:tabs>
          <w:tab w:val="num" w:pos="4320"/>
        </w:tabs>
        <w:ind w:left="4320" w:hanging="360"/>
      </w:pPr>
      <w:rPr>
        <w:rFonts w:ascii="Arial" w:hAnsi="Arial" w:hint="default"/>
      </w:rPr>
    </w:lvl>
    <w:lvl w:ilvl="6" w:tplc="7018DCE4" w:tentative="1">
      <w:start w:val="1"/>
      <w:numFmt w:val="bullet"/>
      <w:lvlText w:val="•"/>
      <w:lvlJc w:val="left"/>
      <w:pPr>
        <w:tabs>
          <w:tab w:val="num" w:pos="5040"/>
        </w:tabs>
        <w:ind w:left="5040" w:hanging="360"/>
      </w:pPr>
      <w:rPr>
        <w:rFonts w:ascii="Arial" w:hAnsi="Arial" w:hint="default"/>
      </w:rPr>
    </w:lvl>
    <w:lvl w:ilvl="7" w:tplc="BDB8D124" w:tentative="1">
      <w:start w:val="1"/>
      <w:numFmt w:val="bullet"/>
      <w:lvlText w:val="•"/>
      <w:lvlJc w:val="left"/>
      <w:pPr>
        <w:tabs>
          <w:tab w:val="num" w:pos="5760"/>
        </w:tabs>
        <w:ind w:left="5760" w:hanging="360"/>
      </w:pPr>
      <w:rPr>
        <w:rFonts w:ascii="Arial" w:hAnsi="Arial" w:hint="default"/>
      </w:rPr>
    </w:lvl>
    <w:lvl w:ilvl="8" w:tplc="EA28B5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9F77E1"/>
    <w:multiLevelType w:val="hybridMultilevel"/>
    <w:tmpl w:val="7EAC124C"/>
    <w:lvl w:ilvl="0" w:tplc="73E8F944">
      <w:start w:val="1"/>
      <w:numFmt w:val="bullet"/>
      <w:lvlText w:val="•"/>
      <w:lvlJc w:val="left"/>
      <w:pPr>
        <w:tabs>
          <w:tab w:val="num" w:pos="720"/>
        </w:tabs>
        <w:ind w:left="720" w:hanging="360"/>
      </w:pPr>
      <w:rPr>
        <w:rFonts w:ascii="Arial" w:hAnsi="Arial" w:hint="default"/>
      </w:rPr>
    </w:lvl>
    <w:lvl w:ilvl="1" w:tplc="6CB2832E" w:tentative="1">
      <w:start w:val="1"/>
      <w:numFmt w:val="bullet"/>
      <w:lvlText w:val="•"/>
      <w:lvlJc w:val="left"/>
      <w:pPr>
        <w:tabs>
          <w:tab w:val="num" w:pos="1440"/>
        </w:tabs>
        <w:ind w:left="1440" w:hanging="360"/>
      </w:pPr>
      <w:rPr>
        <w:rFonts w:ascii="Arial" w:hAnsi="Arial" w:hint="default"/>
      </w:rPr>
    </w:lvl>
    <w:lvl w:ilvl="2" w:tplc="E53CEA3E" w:tentative="1">
      <w:start w:val="1"/>
      <w:numFmt w:val="bullet"/>
      <w:lvlText w:val="•"/>
      <w:lvlJc w:val="left"/>
      <w:pPr>
        <w:tabs>
          <w:tab w:val="num" w:pos="2160"/>
        </w:tabs>
        <w:ind w:left="2160" w:hanging="360"/>
      </w:pPr>
      <w:rPr>
        <w:rFonts w:ascii="Arial" w:hAnsi="Arial" w:hint="default"/>
      </w:rPr>
    </w:lvl>
    <w:lvl w:ilvl="3" w:tplc="E184298E" w:tentative="1">
      <w:start w:val="1"/>
      <w:numFmt w:val="bullet"/>
      <w:lvlText w:val="•"/>
      <w:lvlJc w:val="left"/>
      <w:pPr>
        <w:tabs>
          <w:tab w:val="num" w:pos="2880"/>
        </w:tabs>
        <w:ind w:left="2880" w:hanging="360"/>
      </w:pPr>
      <w:rPr>
        <w:rFonts w:ascii="Arial" w:hAnsi="Arial" w:hint="default"/>
      </w:rPr>
    </w:lvl>
    <w:lvl w:ilvl="4" w:tplc="AAAAACA2" w:tentative="1">
      <w:start w:val="1"/>
      <w:numFmt w:val="bullet"/>
      <w:lvlText w:val="•"/>
      <w:lvlJc w:val="left"/>
      <w:pPr>
        <w:tabs>
          <w:tab w:val="num" w:pos="3600"/>
        </w:tabs>
        <w:ind w:left="3600" w:hanging="360"/>
      </w:pPr>
      <w:rPr>
        <w:rFonts w:ascii="Arial" w:hAnsi="Arial" w:hint="default"/>
      </w:rPr>
    </w:lvl>
    <w:lvl w:ilvl="5" w:tplc="67DE256C" w:tentative="1">
      <w:start w:val="1"/>
      <w:numFmt w:val="bullet"/>
      <w:lvlText w:val="•"/>
      <w:lvlJc w:val="left"/>
      <w:pPr>
        <w:tabs>
          <w:tab w:val="num" w:pos="4320"/>
        </w:tabs>
        <w:ind w:left="4320" w:hanging="360"/>
      </w:pPr>
      <w:rPr>
        <w:rFonts w:ascii="Arial" w:hAnsi="Arial" w:hint="default"/>
      </w:rPr>
    </w:lvl>
    <w:lvl w:ilvl="6" w:tplc="0DF4AFAC" w:tentative="1">
      <w:start w:val="1"/>
      <w:numFmt w:val="bullet"/>
      <w:lvlText w:val="•"/>
      <w:lvlJc w:val="left"/>
      <w:pPr>
        <w:tabs>
          <w:tab w:val="num" w:pos="5040"/>
        </w:tabs>
        <w:ind w:left="5040" w:hanging="360"/>
      </w:pPr>
      <w:rPr>
        <w:rFonts w:ascii="Arial" w:hAnsi="Arial" w:hint="default"/>
      </w:rPr>
    </w:lvl>
    <w:lvl w:ilvl="7" w:tplc="FCD28AE2" w:tentative="1">
      <w:start w:val="1"/>
      <w:numFmt w:val="bullet"/>
      <w:lvlText w:val="•"/>
      <w:lvlJc w:val="left"/>
      <w:pPr>
        <w:tabs>
          <w:tab w:val="num" w:pos="5760"/>
        </w:tabs>
        <w:ind w:left="5760" w:hanging="360"/>
      </w:pPr>
      <w:rPr>
        <w:rFonts w:ascii="Arial" w:hAnsi="Arial" w:hint="default"/>
      </w:rPr>
    </w:lvl>
    <w:lvl w:ilvl="8" w:tplc="7DFA4B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155728"/>
    <w:multiLevelType w:val="hybridMultilevel"/>
    <w:tmpl w:val="CC78C812"/>
    <w:lvl w:ilvl="0" w:tplc="DC14AB76">
      <w:start w:val="1"/>
      <w:numFmt w:val="bullet"/>
      <w:lvlText w:val="•"/>
      <w:lvlJc w:val="left"/>
      <w:pPr>
        <w:tabs>
          <w:tab w:val="num" w:pos="720"/>
        </w:tabs>
        <w:ind w:left="720" w:hanging="360"/>
      </w:pPr>
      <w:rPr>
        <w:rFonts w:ascii="Arial" w:hAnsi="Arial" w:hint="default"/>
      </w:rPr>
    </w:lvl>
    <w:lvl w:ilvl="1" w:tplc="675A8240" w:tentative="1">
      <w:start w:val="1"/>
      <w:numFmt w:val="bullet"/>
      <w:lvlText w:val="•"/>
      <w:lvlJc w:val="left"/>
      <w:pPr>
        <w:tabs>
          <w:tab w:val="num" w:pos="1440"/>
        </w:tabs>
        <w:ind w:left="1440" w:hanging="360"/>
      </w:pPr>
      <w:rPr>
        <w:rFonts w:ascii="Arial" w:hAnsi="Arial" w:hint="default"/>
      </w:rPr>
    </w:lvl>
    <w:lvl w:ilvl="2" w:tplc="77DCD148" w:tentative="1">
      <w:start w:val="1"/>
      <w:numFmt w:val="bullet"/>
      <w:lvlText w:val="•"/>
      <w:lvlJc w:val="left"/>
      <w:pPr>
        <w:tabs>
          <w:tab w:val="num" w:pos="2160"/>
        </w:tabs>
        <w:ind w:left="2160" w:hanging="360"/>
      </w:pPr>
      <w:rPr>
        <w:rFonts w:ascii="Arial" w:hAnsi="Arial" w:hint="default"/>
      </w:rPr>
    </w:lvl>
    <w:lvl w:ilvl="3" w:tplc="5D2E0EF8" w:tentative="1">
      <w:start w:val="1"/>
      <w:numFmt w:val="bullet"/>
      <w:lvlText w:val="•"/>
      <w:lvlJc w:val="left"/>
      <w:pPr>
        <w:tabs>
          <w:tab w:val="num" w:pos="2880"/>
        </w:tabs>
        <w:ind w:left="2880" w:hanging="360"/>
      </w:pPr>
      <w:rPr>
        <w:rFonts w:ascii="Arial" w:hAnsi="Arial" w:hint="default"/>
      </w:rPr>
    </w:lvl>
    <w:lvl w:ilvl="4" w:tplc="C5722D98" w:tentative="1">
      <w:start w:val="1"/>
      <w:numFmt w:val="bullet"/>
      <w:lvlText w:val="•"/>
      <w:lvlJc w:val="left"/>
      <w:pPr>
        <w:tabs>
          <w:tab w:val="num" w:pos="3600"/>
        </w:tabs>
        <w:ind w:left="3600" w:hanging="360"/>
      </w:pPr>
      <w:rPr>
        <w:rFonts w:ascii="Arial" w:hAnsi="Arial" w:hint="default"/>
      </w:rPr>
    </w:lvl>
    <w:lvl w:ilvl="5" w:tplc="A64AD914" w:tentative="1">
      <w:start w:val="1"/>
      <w:numFmt w:val="bullet"/>
      <w:lvlText w:val="•"/>
      <w:lvlJc w:val="left"/>
      <w:pPr>
        <w:tabs>
          <w:tab w:val="num" w:pos="4320"/>
        </w:tabs>
        <w:ind w:left="4320" w:hanging="360"/>
      </w:pPr>
      <w:rPr>
        <w:rFonts w:ascii="Arial" w:hAnsi="Arial" w:hint="default"/>
      </w:rPr>
    </w:lvl>
    <w:lvl w:ilvl="6" w:tplc="77E886EC" w:tentative="1">
      <w:start w:val="1"/>
      <w:numFmt w:val="bullet"/>
      <w:lvlText w:val="•"/>
      <w:lvlJc w:val="left"/>
      <w:pPr>
        <w:tabs>
          <w:tab w:val="num" w:pos="5040"/>
        </w:tabs>
        <w:ind w:left="5040" w:hanging="360"/>
      </w:pPr>
      <w:rPr>
        <w:rFonts w:ascii="Arial" w:hAnsi="Arial" w:hint="default"/>
      </w:rPr>
    </w:lvl>
    <w:lvl w:ilvl="7" w:tplc="82EE4F24" w:tentative="1">
      <w:start w:val="1"/>
      <w:numFmt w:val="bullet"/>
      <w:lvlText w:val="•"/>
      <w:lvlJc w:val="left"/>
      <w:pPr>
        <w:tabs>
          <w:tab w:val="num" w:pos="5760"/>
        </w:tabs>
        <w:ind w:left="5760" w:hanging="360"/>
      </w:pPr>
      <w:rPr>
        <w:rFonts w:ascii="Arial" w:hAnsi="Arial" w:hint="default"/>
      </w:rPr>
    </w:lvl>
    <w:lvl w:ilvl="8" w:tplc="8C7A94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7E658C"/>
    <w:multiLevelType w:val="hybridMultilevel"/>
    <w:tmpl w:val="FE98BCB4"/>
    <w:lvl w:ilvl="0" w:tplc="EFB238EE">
      <w:start w:val="1"/>
      <w:numFmt w:val="bullet"/>
      <w:lvlText w:val="•"/>
      <w:lvlJc w:val="left"/>
      <w:pPr>
        <w:tabs>
          <w:tab w:val="num" w:pos="720"/>
        </w:tabs>
        <w:ind w:left="720" w:hanging="360"/>
      </w:pPr>
      <w:rPr>
        <w:rFonts w:ascii="Arial" w:hAnsi="Arial" w:hint="default"/>
      </w:rPr>
    </w:lvl>
    <w:lvl w:ilvl="1" w:tplc="95382848" w:tentative="1">
      <w:start w:val="1"/>
      <w:numFmt w:val="bullet"/>
      <w:lvlText w:val="•"/>
      <w:lvlJc w:val="left"/>
      <w:pPr>
        <w:tabs>
          <w:tab w:val="num" w:pos="1440"/>
        </w:tabs>
        <w:ind w:left="1440" w:hanging="360"/>
      </w:pPr>
      <w:rPr>
        <w:rFonts w:ascii="Arial" w:hAnsi="Arial" w:hint="default"/>
      </w:rPr>
    </w:lvl>
    <w:lvl w:ilvl="2" w:tplc="A3E06058" w:tentative="1">
      <w:start w:val="1"/>
      <w:numFmt w:val="bullet"/>
      <w:lvlText w:val="•"/>
      <w:lvlJc w:val="left"/>
      <w:pPr>
        <w:tabs>
          <w:tab w:val="num" w:pos="2160"/>
        </w:tabs>
        <w:ind w:left="2160" w:hanging="360"/>
      </w:pPr>
      <w:rPr>
        <w:rFonts w:ascii="Arial" w:hAnsi="Arial" w:hint="default"/>
      </w:rPr>
    </w:lvl>
    <w:lvl w:ilvl="3" w:tplc="A754B1A8" w:tentative="1">
      <w:start w:val="1"/>
      <w:numFmt w:val="bullet"/>
      <w:lvlText w:val="•"/>
      <w:lvlJc w:val="left"/>
      <w:pPr>
        <w:tabs>
          <w:tab w:val="num" w:pos="2880"/>
        </w:tabs>
        <w:ind w:left="2880" w:hanging="360"/>
      </w:pPr>
      <w:rPr>
        <w:rFonts w:ascii="Arial" w:hAnsi="Arial" w:hint="default"/>
      </w:rPr>
    </w:lvl>
    <w:lvl w:ilvl="4" w:tplc="1AE2A634" w:tentative="1">
      <w:start w:val="1"/>
      <w:numFmt w:val="bullet"/>
      <w:lvlText w:val="•"/>
      <w:lvlJc w:val="left"/>
      <w:pPr>
        <w:tabs>
          <w:tab w:val="num" w:pos="3600"/>
        </w:tabs>
        <w:ind w:left="3600" w:hanging="360"/>
      </w:pPr>
      <w:rPr>
        <w:rFonts w:ascii="Arial" w:hAnsi="Arial" w:hint="default"/>
      </w:rPr>
    </w:lvl>
    <w:lvl w:ilvl="5" w:tplc="CD060680" w:tentative="1">
      <w:start w:val="1"/>
      <w:numFmt w:val="bullet"/>
      <w:lvlText w:val="•"/>
      <w:lvlJc w:val="left"/>
      <w:pPr>
        <w:tabs>
          <w:tab w:val="num" w:pos="4320"/>
        </w:tabs>
        <w:ind w:left="4320" w:hanging="360"/>
      </w:pPr>
      <w:rPr>
        <w:rFonts w:ascii="Arial" w:hAnsi="Arial" w:hint="default"/>
      </w:rPr>
    </w:lvl>
    <w:lvl w:ilvl="6" w:tplc="D0B2D01C" w:tentative="1">
      <w:start w:val="1"/>
      <w:numFmt w:val="bullet"/>
      <w:lvlText w:val="•"/>
      <w:lvlJc w:val="left"/>
      <w:pPr>
        <w:tabs>
          <w:tab w:val="num" w:pos="5040"/>
        </w:tabs>
        <w:ind w:left="5040" w:hanging="360"/>
      </w:pPr>
      <w:rPr>
        <w:rFonts w:ascii="Arial" w:hAnsi="Arial" w:hint="default"/>
      </w:rPr>
    </w:lvl>
    <w:lvl w:ilvl="7" w:tplc="6F5A3C08" w:tentative="1">
      <w:start w:val="1"/>
      <w:numFmt w:val="bullet"/>
      <w:lvlText w:val="•"/>
      <w:lvlJc w:val="left"/>
      <w:pPr>
        <w:tabs>
          <w:tab w:val="num" w:pos="5760"/>
        </w:tabs>
        <w:ind w:left="5760" w:hanging="360"/>
      </w:pPr>
      <w:rPr>
        <w:rFonts w:ascii="Arial" w:hAnsi="Arial" w:hint="default"/>
      </w:rPr>
    </w:lvl>
    <w:lvl w:ilvl="8" w:tplc="537AE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C06AE"/>
    <w:multiLevelType w:val="hybridMultilevel"/>
    <w:tmpl w:val="C800464E"/>
    <w:lvl w:ilvl="0" w:tplc="6CB2832E">
      <w:start w:val="1"/>
      <w:numFmt w:val="bullet"/>
      <w:lvlText w:val="•"/>
      <w:lvlJc w:val="left"/>
      <w:pPr>
        <w:tabs>
          <w:tab w:val="num" w:pos="1440"/>
        </w:tabs>
        <w:ind w:left="144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D292B"/>
    <w:multiLevelType w:val="hybridMultilevel"/>
    <w:tmpl w:val="09B85D02"/>
    <w:lvl w:ilvl="0" w:tplc="683C2DDA">
      <w:start w:val="1"/>
      <w:numFmt w:val="bullet"/>
      <w:lvlText w:val="•"/>
      <w:lvlJc w:val="left"/>
      <w:pPr>
        <w:tabs>
          <w:tab w:val="num" w:pos="720"/>
        </w:tabs>
        <w:ind w:left="720" w:hanging="360"/>
      </w:pPr>
      <w:rPr>
        <w:rFonts w:ascii="Arial" w:hAnsi="Arial" w:hint="default"/>
      </w:rPr>
    </w:lvl>
    <w:lvl w:ilvl="1" w:tplc="9224FB4C" w:tentative="1">
      <w:start w:val="1"/>
      <w:numFmt w:val="bullet"/>
      <w:lvlText w:val="•"/>
      <w:lvlJc w:val="left"/>
      <w:pPr>
        <w:tabs>
          <w:tab w:val="num" w:pos="1440"/>
        </w:tabs>
        <w:ind w:left="1440" w:hanging="360"/>
      </w:pPr>
      <w:rPr>
        <w:rFonts w:ascii="Arial" w:hAnsi="Arial" w:hint="default"/>
      </w:rPr>
    </w:lvl>
    <w:lvl w:ilvl="2" w:tplc="4BD49B4E" w:tentative="1">
      <w:start w:val="1"/>
      <w:numFmt w:val="bullet"/>
      <w:lvlText w:val="•"/>
      <w:lvlJc w:val="left"/>
      <w:pPr>
        <w:tabs>
          <w:tab w:val="num" w:pos="2160"/>
        </w:tabs>
        <w:ind w:left="2160" w:hanging="360"/>
      </w:pPr>
      <w:rPr>
        <w:rFonts w:ascii="Arial" w:hAnsi="Arial" w:hint="default"/>
      </w:rPr>
    </w:lvl>
    <w:lvl w:ilvl="3" w:tplc="7C2E57E2" w:tentative="1">
      <w:start w:val="1"/>
      <w:numFmt w:val="bullet"/>
      <w:lvlText w:val="•"/>
      <w:lvlJc w:val="left"/>
      <w:pPr>
        <w:tabs>
          <w:tab w:val="num" w:pos="2880"/>
        </w:tabs>
        <w:ind w:left="2880" w:hanging="360"/>
      </w:pPr>
      <w:rPr>
        <w:rFonts w:ascii="Arial" w:hAnsi="Arial" w:hint="default"/>
      </w:rPr>
    </w:lvl>
    <w:lvl w:ilvl="4" w:tplc="0ED2D670" w:tentative="1">
      <w:start w:val="1"/>
      <w:numFmt w:val="bullet"/>
      <w:lvlText w:val="•"/>
      <w:lvlJc w:val="left"/>
      <w:pPr>
        <w:tabs>
          <w:tab w:val="num" w:pos="3600"/>
        </w:tabs>
        <w:ind w:left="3600" w:hanging="360"/>
      </w:pPr>
      <w:rPr>
        <w:rFonts w:ascii="Arial" w:hAnsi="Arial" w:hint="default"/>
      </w:rPr>
    </w:lvl>
    <w:lvl w:ilvl="5" w:tplc="131C589E" w:tentative="1">
      <w:start w:val="1"/>
      <w:numFmt w:val="bullet"/>
      <w:lvlText w:val="•"/>
      <w:lvlJc w:val="left"/>
      <w:pPr>
        <w:tabs>
          <w:tab w:val="num" w:pos="4320"/>
        </w:tabs>
        <w:ind w:left="4320" w:hanging="360"/>
      </w:pPr>
      <w:rPr>
        <w:rFonts w:ascii="Arial" w:hAnsi="Arial" w:hint="default"/>
      </w:rPr>
    </w:lvl>
    <w:lvl w:ilvl="6" w:tplc="28ACB192" w:tentative="1">
      <w:start w:val="1"/>
      <w:numFmt w:val="bullet"/>
      <w:lvlText w:val="•"/>
      <w:lvlJc w:val="left"/>
      <w:pPr>
        <w:tabs>
          <w:tab w:val="num" w:pos="5040"/>
        </w:tabs>
        <w:ind w:left="5040" w:hanging="360"/>
      </w:pPr>
      <w:rPr>
        <w:rFonts w:ascii="Arial" w:hAnsi="Arial" w:hint="default"/>
      </w:rPr>
    </w:lvl>
    <w:lvl w:ilvl="7" w:tplc="A4E4719A" w:tentative="1">
      <w:start w:val="1"/>
      <w:numFmt w:val="bullet"/>
      <w:lvlText w:val="•"/>
      <w:lvlJc w:val="left"/>
      <w:pPr>
        <w:tabs>
          <w:tab w:val="num" w:pos="5760"/>
        </w:tabs>
        <w:ind w:left="5760" w:hanging="360"/>
      </w:pPr>
      <w:rPr>
        <w:rFonts w:ascii="Arial" w:hAnsi="Arial" w:hint="default"/>
      </w:rPr>
    </w:lvl>
    <w:lvl w:ilvl="8" w:tplc="AE0C6F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6B4186"/>
    <w:multiLevelType w:val="hybridMultilevel"/>
    <w:tmpl w:val="D25C8F4C"/>
    <w:lvl w:ilvl="0" w:tplc="D8FCE73C">
      <w:start w:val="1"/>
      <w:numFmt w:val="bullet"/>
      <w:lvlText w:val="•"/>
      <w:lvlJc w:val="left"/>
      <w:pPr>
        <w:tabs>
          <w:tab w:val="num" w:pos="720"/>
        </w:tabs>
        <w:ind w:left="720" w:hanging="360"/>
      </w:pPr>
      <w:rPr>
        <w:rFonts w:ascii="Arial" w:hAnsi="Arial" w:hint="default"/>
      </w:rPr>
    </w:lvl>
    <w:lvl w:ilvl="1" w:tplc="7AFC8BCA" w:tentative="1">
      <w:start w:val="1"/>
      <w:numFmt w:val="bullet"/>
      <w:lvlText w:val="•"/>
      <w:lvlJc w:val="left"/>
      <w:pPr>
        <w:tabs>
          <w:tab w:val="num" w:pos="1440"/>
        </w:tabs>
        <w:ind w:left="1440" w:hanging="360"/>
      </w:pPr>
      <w:rPr>
        <w:rFonts w:ascii="Arial" w:hAnsi="Arial" w:hint="default"/>
      </w:rPr>
    </w:lvl>
    <w:lvl w:ilvl="2" w:tplc="298C3350" w:tentative="1">
      <w:start w:val="1"/>
      <w:numFmt w:val="bullet"/>
      <w:lvlText w:val="•"/>
      <w:lvlJc w:val="left"/>
      <w:pPr>
        <w:tabs>
          <w:tab w:val="num" w:pos="2160"/>
        </w:tabs>
        <w:ind w:left="2160" w:hanging="360"/>
      </w:pPr>
      <w:rPr>
        <w:rFonts w:ascii="Arial" w:hAnsi="Arial" w:hint="default"/>
      </w:rPr>
    </w:lvl>
    <w:lvl w:ilvl="3" w:tplc="DB48F33E" w:tentative="1">
      <w:start w:val="1"/>
      <w:numFmt w:val="bullet"/>
      <w:lvlText w:val="•"/>
      <w:lvlJc w:val="left"/>
      <w:pPr>
        <w:tabs>
          <w:tab w:val="num" w:pos="2880"/>
        </w:tabs>
        <w:ind w:left="2880" w:hanging="360"/>
      </w:pPr>
      <w:rPr>
        <w:rFonts w:ascii="Arial" w:hAnsi="Arial" w:hint="default"/>
      </w:rPr>
    </w:lvl>
    <w:lvl w:ilvl="4" w:tplc="3A46EB94" w:tentative="1">
      <w:start w:val="1"/>
      <w:numFmt w:val="bullet"/>
      <w:lvlText w:val="•"/>
      <w:lvlJc w:val="left"/>
      <w:pPr>
        <w:tabs>
          <w:tab w:val="num" w:pos="3600"/>
        </w:tabs>
        <w:ind w:left="3600" w:hanging="360"/>
      </w:pPr>
      <w:rPr>
        <w:rFonts w:ascii="Arial" w:hAnsi="Arial" w:hint="default"/>
      </w:rPr>
    </w:lvl>
    <w:lvl w:ilvl="5" w:tplc="1192907C" w:tentative="1">
      <w:start w:val="1"/>
      <w:numFmt w:val="bullet"/>
      <w:lvlText w:val="•"/>
      <w:lvlJc w:val="left"/>
      <w:pPr>
        <w:tabs>
          <w:tab w:val="num" w:pos="4320"/>
        </w:tabs>
        <w:ind w:left="4320" w:hanging="360"/>
      </w:pPr>
      <w:rPr>
        <w:rFonts w:ascii="Arial" w:hAnsi="Arial" w:hint="default"/>
      </w:rPr>
    </w:lvl>
    <w:lvl w:ilvl="6" w:tplc="48B0F0D4" w:tentative="1">
      <w:start w:val="1"/>
      <w:numFmt w:val="bullet"/>
      <w:lvlText w:val="•"/>
      <w:lvlJc w:val="left"/>
      <w:pPr>
        <w:tabs>
          <w:tab w:val="num" w:pos="5040"/>
        </w:tabs>
        <w:ind w:left="5040" w:hanging="360"/>
      </w:pPr>
      <w:rPr>
        <w:rFonts w:ascii="Arial" w:hAnsi="Arial" w:hint="default"/>
      </w:rPr>
    </w:lvl>
    <w:lvl w:ilvl="7" w:tplc="B2CA7B0A" w:tentative="1">
      <w:start w:val="1"/>
      <w:numFmt w:val="bullet"/>
      <w:lvlText w:val="•"/>
      <w:lvlJc w:val="left"/>
      <w:pPr>
        <w:tabs>
          <w:tab w:val="num" w:pos="5760"/>
        </w:tabs>
        <w:ind w:left="5760" w:hanging="360"/>
      </w:pPr>
      <w:rPr>
        <w:rFonts w:ascii="Arial" w:hAnsi="Arial" w:hint="default"/>
      </w:rPr>
    </w:lvl>
    <w:lvl w:ilvl="8" w:tplc="ABF6AF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2F5246"/>
    <w:multiLevelType w:val="hybridMultilevel"/>
    <w:tmpl w:val="32961F3C"/>
    <w:lvl w:ilvl="0" w:tplc="829867A4">
      <w:start w:val="1"/>
      <w:numFmt w:val="bullet"/>
      <w:lvlText w:val="•"/>
      <w:lvlJc w:val="left"/>
      <w:pPr>
        <w:tabs>
          <w:tab w:val="num" w:pos="720"/>
        </w:tabs>
        <w:ind w:left="720" w:hanging="360"/>
      </w:pPr>
      <w:rPr>
        <w:rFonts w:ascii="Arial" w:hAnsi="Arial" w:hint="default"/>
      </w:rPr>
    </w:lvl>
    <w:lvl w:ilvl="1" w:tplc="6B3664BA" w:tentative="1">
      <w:start w:val="1"/>
      <w:numFmt w:val="bullet"/>
      <w:lvlText w:val="•"/>
      <w:lvlJc w:val="left"/>
      <w:pPr>
        <w:tabs>
          <w:tab w:val="num" w:pos="1440"/>
        </w:tabs>
        <w:ind w:left="1440" w:hanging="360"/>
      </w:pPr>
      <w:rPr>
        <w:rFonts w:ascii="Arial" w:hAnsi="Arial" w:hint="default"/>
      </w:rPr>
    </w:lvl>
    <w:lvl w:ilvl="2" w:tplc="9BF6BE3A" w:tentative="1">
      <w:start w:val="1"/>
      <w:numFmt w:val="bullet"/>
      <w:lvlText w:val="•"/>
      <w:lvlJc w:val="left"/>
      <w:pPr>
        <w:tabs>
          <w:tab w:val="num" w:pos="2160"/>
        </w:tabs>
        <w:ind w:left="2160" w:hanging="360"/>
      </w:pPr>
      <w:rPr>
        <w:rFonts w:ascii="Arial" w:hAnsi="Arial" w:hint="default"/>
      </w:rPr>
    </w:lvl>
    <w:lvl w:ilvl="3" w:tplc="2BD60E36" w:tentative="1">
      <w:start w:val="1"/>
      <w:numFmt w:val="bullet"/>
      <w:lvlText w:val="•"/>
      <w:lvlJc w:val="left"/>
      <w:pPr>
        <w:tabs>
          <w:tab w:val="num" w:pos="2880"/>
        </w:tabs>
        <w:ind w:left="2880" w:hanging="360"/>
      </w:pPr>
      <w:rPr>
        <w:rFonts w:ascii="Arial" w:hAnsi="Arial" w:hint="default"/>
      </w:rPr>
    </w:lvl>
    <w:lvl w:ilvl="4" w:tplc="9EB28B90" w:tentative="1">
      <w:start w:val="1"/>
      <w:numFmt w:val="bullet"/>
      <w:lvlText w:val="•"/>
      <w:lvlJc w:val="left"/>
      <w:pPr>
        <w:tabs>
          <w:tab w:val="num" w:pos="3600"/>
        </w:tabs>
        <w:ind w:left="3600" w:hanging="360"/>
      </w:pPr>
      <w:rPr>
        <w:rFonts w:ascii="Arial" w:hAnsi="Arial" w:hint="default"/>
      </w:rPr>
    </w:lvl>
    <w:lvl w:ilvl="5" w:tplc="7542E724" w:tentative="1">
      <w:start w:val="1"/>
      <w:numFmt w:val="bullet"/>
      <w:lvlText w:val="•"/>
      <w:lvlJc w:val="left"/>
      <w:pPr>
        <w:tabs>
          <w:tab w:val="num" w:pos="4320"/>
        </w:tabs>
        <w:ind w:left="4320" w:hanging="360"/>
      </w:pPr>
      <w:rPr>
        <w:rFonts w:ascii="Arial" w:hAnsi="Arial" w:hint="default"/>
      </w:rPr>
    </w:lvl>
    <w:lvl w:ilvl="6" w:tplc="EEF83D00" w:tentative="1">
      <w:start w:val="1"/>
      <w:numFmt w:val="bullet"/>
      <w:lvlText w:val="•"/>
      <w:lvlJc w:val="left"/>
      <w:pPr>
        <w:tabs>
          <w:tab w:val="num" w:pos="5040"/>
        </w:tabs>
        <w:ind w:left="5040" w:hanging="360"/>
      </w:pPr>
      <w:rPr>
        <w:rFonts w:ascii="Arial" w:hAnsi="Arial" w:hint="default"/>
      </w:rPr>
    </w:lvl>
    <w:lvl w:ilvl="7" w:tplc="ADC045BC" w:tentative="1">
      <w:start w:val="1"/>
      <w:numFmt w:val="bullet"/>
      <w:lvlText w:val="•"/>
      <w:lvlJc w:val="left"/>
      <w:pPr>
        <w:tabs>
          <w:tab w:val="num" w:pos="5760"/>
        </w:tabs>
        <w:ind w:left="5760" w:hanging="360"/>
      </w:pPr>
      <w:rPr>
        <w:rFonts w:ascii="Arial" w:hAnsi="Arial" w:hint="default"/>
      </w:rPr>
    </w:lvl>
    <w:lvl w:ilvl="8" w:tplc="BE788F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8B6554"/>
    <w:multiLevelType w:val="hybridMultilevel"/>
    <w:tmpl w:val="3F143018"/>
    <w:lvl w:ilvl="0" w:tplc="83560E3A">
      <w:start w:val="1"/>
      <w:numFmt w:val="bullet"/>
      <w:lvlText w:val="•"/>
      <w:lvlJc w:val="left"/>
      <w:pPr>
        <w:tabs>
          <w:tab w:val="num" w:pos="720"/>
        </w:tabs>
        <w:ind w:left="720" w:hanging="360"/>
      </w:pPr>
      <w:rPr>
        <w:rFonts w:ascii="Arial" w:hAnsi="Arial" w:hint="default"/>
      </w:rPr>
    </w:lvl>
    <w:lvl w:ilvl="1" w:tplc="087272B0" w:tentative="1">
      <w:start w:val="1"/>
      <w:numFmt w:val="bullet"/>
      <w:lvlText w:val="•"/>
      <w:lvlJc w:val="left"/>
      <w:pPr>
        <w:tabs>
          <w:tab w:val="num" w:pos="1440"/>
        </w:tabs>
        <w:ind w:left="1440" w:hanging="360"/>
      </w:pPr>
      <w:rPr>
        <w:rFonts w:ascii="Arial" w:hAnsi="Arial" w:hint="default"/>
      </w:rPr>
    </w:lvl>
    <w:lvl w:ilvl="2" w:tplc="4956F01A" w:tentative="1">
      <w:start w:val="1"/>
      <w:numFmt w:val="bullet"/>
      <w:lvlText w:val="•"/>
      <w:lvlJc w:val="left"/>
      <w:pPr>
        <w:tabs>
          <w:tab w:val="num" w:pos="2160"/>
        </w:tabs>
        <w:ind w:left="2160" w:hanging="360"/>
      </w:pPr>
      <w:rPr>
        <w:rFonts w:ascii="Arial" w:hAnsi="Arial" w:hint="default"/>
      </w:rPr>
    </w:lvl>
    <w:lvl w:ilvl="3" w:tplc="C7189028" w:tentative="1">
      <w:start w:val="1"/>
      <w:numFmt w:val="bullet"/>
      <w:lvlText w:val="•"/>
      <w:lvlJc w:val="left"/>
      <w:pPr>
        <w:tabs>
          <w:tab w:val="num" w:pos="2880"/>
        </w:tabs>
        <w:ind w:left="2880" w:hanging="360"/>
      </w:pPr>
      <w:rPr>
        <w:rFonts w:ascii="Arial" w:hAnsi="Arial" w:hint="default"/>
      </w:rPr>
    </w:lvl>
    <w:lvl w:ilvl="4" w:tplc="CC6CE8A6" w:tentative="1">
      <w:start w:val="1"/>
      <w:numFmt w:val="bullet"/>
      <w:lvlText w:val="•"/>
      <w:lvlJc w:val="left"/>
      <w:pPr>
        <w:tabs>
          <w:tab w:val="num" w:pos="3600"/>
        </w:tabs>
        <w:ind w:left="3600" w:hanging="360"/>
      </w:pPr>
      <w:rPr>
        <w:rFonts w:ascii="Arial" w:hAnsi="Arial" w:hint="default"/>
      </w:rPr>
    </w:lvl>
    <w:lvl w:ilvl="5" w:tplc="E4182C66" w:tentative="1">
      <w:start w:val="1"/>
      <w:numFmt w:val="bullet"/>
      <w:lvlText w:val="•"/>
      <w:lvlJc w:val="left"/>
      <w:pPr>
        <w:tabs>
          <w:tab w:val="num" w:pos="4320"/>
        </w:tabs>
        <w:ind w:left="4320" w:hanging="360"/>
      </w:pPr>
      <w:rPr>
        <w:rFonts w:ascii="Arial" w:hAnsi="Arial" w:hint="default"/>
      </w:rPr>
    </w:lvl>
    <w:lvl w:ilvl="6" w:tplc="ADDEAF68" w:tentative="1">
      <w:start w:val="1"/>
      <w:numFmt w:val="bullet"/>
      <w:lvlText w:val="•"/>
      <w:lvlJc w:val="left"/>
      <w:pPr>
        <w:tabs>
          <w:tab w:val="num" w:pos="5040"/>
        </w:tabs>
        <w:ind w:left="5040" w:hanging="360"/>
      </w:pPr>
      <w:rPr>
        <w:rFonts w:ascii="Arial" w:hAnsi="Arial" w:hint="default"/>
      </w:rPr>
    </w:lvl>
    <w:lvl w:ilvl="7" w:tplc="B472F750" w:tentative="1">
      <w:start w:val="1"/>
      <w:numFmt w:val="bullet"/>
      <w:lvlText w:val="•"/>
      <w:lvlJc w:val="left"/>
      <w:pPr>
        <w:tabs>
          <w:tab w:val="num" w:pos="5760"/>
        </w:tabs>
        <w:ind w:left="5760" w:hanging="360"/>
      </w:pPr>
      <w:rPr>
        <w:rFonts w:ascii="Arial" w:hAnsi="Arial" w:hint="default"/>
      </w:rPr>
    </w:lvl>
    <w:lvl w:ilvl="8" w:tplc="6C824D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B07CE7"/>
    <w:multiLevelType w:val="hybridMultilevel"/>
    <w:tmpl w:val="15C2F2AA"/>
    <w:lvl w:ilvl="0" w:tplc="6CB2832E">
      <w:start w:val="1"/>
      <w:numFmt w:val="bullet"/>
      <w:lvlText w:val="•"/>
      <w:lvlJc w:val="left"/>
      <w:pPr>
        <w:tabs>
          <w:tab w:val="num" w:pos="1440"/>
        </w:tabs>
        <w:ind w:left="144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952"/>
    <w:multiLevelType w:val="hybridMultilevel"/>
    <w:tmpl w:val="5A108E2E"/>
    <w:lvl w:ilvl="0" w:tplc="0AFA827A">
      <w:start w:val="1"/>
      <w:numFmt w:val="bullet"/>
      <w:lvlText w:val="•"/>
      <w:lvlJc w:val="left"/>
      <w:pPr>
        <w:tabs>
          <w:tab w:val="num" w:pos="720"/>
        </w:tabs>
        <w:ind w:left="720" w:hanging="360"/>
      </w:pPr>
      <w:rPr>
        <w:rFonts w:ascii="Arial" w:hAnsi="Arial" w:hint="default"/>
      </w:rPr>
    </w:lvl>
    <w:lvl w:ilvl="1" w:tplc="047453EC" w:tentative="1">
      <w:start w:val="1"/>
      <w:numFmt w:val="bullet"/>
      <w:lvlText w:val="•"/>
      <w:lvlJc w:val="left"/>
      <w:pPr>
        <w:tabs>
          <w:tab w:val="num" w:pos="1440"/>
        </w:tabs>
        <w:ind w:left="1440" w:hanging="360"/>
      </w:pPr>
      <w:rPr>
        <w:rFonts w:ascii="Arial" w:hAnsi="Arial" w:hint="default"/>
      </w:rPr>
    </w:lvl>
    <w:lvl w:ilvl="2" w:tplc="E9EEDF6C" w:tentative="1">
      <w:start w:val="1"/>
      <w:numFmt w:val="bullet"/>
      <w:lvlText w:val="•"/>
      <w:lvlJc w:val="left"/>
      <w:pPr>
        <w:tabs>
          <w:tab w:val="num" w:pos="2160"/>
        </w:tabs>
        <w:ind w:left="2160" w:hanging="360"/>
      </w:pPr>
      <w:rPr>
        <w:rFonts w:ascii="Arial" w:hAnsi="Arial" w:hint="default"/>
      </w:rPr>
    </w:lvl>
    <w:lvl w:ilvl="3" w:tplc="BF22124E" w:tentative="1">
      <w:start w:val="1"/>
      <w:numFmt w:val="bullet"/>
      <w:lvlText w:val="•"/>
      <w:lvlJc w:val="left"/>
      <w:pPr>
        <w:tabs>
          <w:tab w:val="num" w:pos="2880"/>
        </w:tabs>
        <w:ind w:left="2880" w:hanging="360"/>
      </w:pPr>
      <w:rPr>
        <w:rFonts w:ascii="Arial" w:hAnsi="Arial" w:hint="default"/>
      </w:rPr>
    </w:lvl>
    <w:lvl w:ilvl="4" w:tplc="7A22FEDE" w:tentative="1">
      <w:start w:val="1"/>
      <w:numFmt w:val="bullet"/>
      <w:lvlText w:val="•"/>
      <w:lvlJc w:val="left"/>
      <w:pPr>
        <w:tabs>
          <w:tab w:val="num" w:pos="3600"/>
        </w:tabs>
        <w:ind w:left="3600" w:hanging="360"/>
      </w:pPr>
      <w:rPr>
        <w:rFonts w:ascii="Arial" w:hAnsi="Arial" w:hint="default"/>
      </w:rPr>
    </w:lvl>
    <w:lvl w:ilvl="5" w:tplc="19426630" w:tentative="1">
      <w:start w:val="1"/>
      <w:numFmt w:val="bullet"/>
      <w:lvlText w:val="•"/>
      <w:lvlJc w:val="left"/>
      <w:pPr>
        <w:tabs>
          <w:tab w:val="num" w:pos="4320"/>
        </w:tabs>
        <w:ind w:left="4320" w:hanging="360"/>
      </w:pPr>
      <w:rPr>
        <w:rFonts w:ascii="Arial" w:hAnsi="Arial" w:hint="default"/>
      </w:rPr>
    </w:lvl>
    <w:lvl w:ilvl="6" w:tplc="BE321E90" w:tentative="1">
      <w:start w:val="1"/>
      <w:numFmt w:val="bullet"/>
      <w:lvlText w:val="•"/>
      <w:lvlJc w:val="left"/>
      <w:pPr>
        <w:tabs>
          <w:tab w:val="num" w:pos="5040"/>
        </w:tabs>
        <w:ind w:left="5040" w:hanging="360"/>
      </w:pPr>
      <w:rPr>
        <w:rFonts w:ascii="Arial" w:hAnsi="Arial" w:hint="default"/>
      </w:rPr>
    </w:lvl>
    <w:lvl w:ilvl="7" w:tplc="E80A6034" w:tentative="1">
      <w:start w:val="1"/>
      <w:numFmt w:val="bullet"/>
      <w:lvlText w:val="•"/>
      <w:lvlJc w:val="left"/>
      <w:pPr>
        <w:tabs>
          <w:tab w:val="num" w:pos="5760"/>
        </w:tabs>
        <w:ind w:left="5760" w:hanging="360"/>
      </w:pPr>
      <w:rPr>
        <w:rFonts w:ascii="Arial" w:hAnsi="Arial" w:hint="default"/>
      </w:rPr>
    </w:lvl>
    <w:lvl w:ilvl="8" w:tplc="3BFA71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5A329D"/>
    <w:multiLevelType w:val="hybridMultilevel"/>
    <w:tmpl w:val="EB7483C8"/>
    <w:lvl w:ilvl="0" w:tplc="C0F656DE">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763F46"/>
    <w:multiLevelType w:val="hybridMultilevel"/>
    <w:tmpl w:val="6576D740"/>
    <w:lvl w:ilvl="0" w:tplc="41D8492E">
      <w:start w:val="1"/>
      <w:numFmt w:val="bullet"/>
      <w:lvlText w:val="•"/>
      <w:lvlJc w:val="left"/>
      <w:pPr>
        <w:tabs>
          <w:tab w:val="num" w:pos="720"/>
        </w:tabs>
        <w:ind w:left="720" w:hanging="360"/>
      </w:pPr>
      <w:rPr>
        <w:rFonts w:ascii="Arial" w:hAnsi="Arial" w:hint="default"/>
      </w:rPr>
    </w:lvl>
    <w:lvl w:ilvl="1" w:tplc="F0CA24F4">
      <w:start w:val="270"/>
      <w:numFmt w:val="bullet"/>
      <w:lvlText w:val="•"/>
      <w:lvlJc w:val="left"/>
      <w:pPr>
        <w:tabs>
          <w:tab w:val="num" w:pos="1440"/>
        </w:tabs>
        <w:ind w:left="1440" w:hanging="360"/>
      </w:pPr>
      <w:rPr>
        <w:rFonts w:ascii="Arial" w:hAnsi="Arial" w:hint="default"/>
      </w:rPr>
    </w:lvl>
    <w:lvl w:ilvl="2" w:tplc="F2D0D578" w:tentative="1">
      <w:start w:val="1"/>
      <w:numFmt w:val="bullet"/>
      <w:lvlText w:val="•"/>
      <w:lvlJc w:val="left"/>
      <w:pPr>
        <w:tabs>
          <w:tab w:val="num" w:pos="2160"/>
        </w:tabs>
        <w:ind w:left="2160" w:hanging="360"/>
      </w:pPr>
      <w:rPr>
        <w:rFonts w:ascii="Arial" w:hAnsi="Arial" w:hint="default"/>
      </w:rPr>
    </w:lvl>
    <w:lvl w:ilvl="3" w:tplc="16BECE9C" w:tentative="1">
      <w:start w:val="1"/>
      <w:numFmt w:val="bullet"/>
      <w:lvlText w:val="•"/>
      <w:lvlJc w:val="left"/>
      <w:pPr>
        <w:tabs>
          <w:tab w:val="num" w:pos="2880"/>
        </w:tabs>
        <w:ind w:left="2880" w:hanging="360"/>
      </w:pPr>
      <w:rPr>
        <w:rFonts w:ascii="Arial" w:hAnsi="Arial" w:hint="default"/>
      </w:rPr>
    </w:lvl>
    <w:lvl w:ilvl="4" w:tplc="E67E1008" w:tentative="1">
      <w:start w:val="1"/>
      <w:numFmt w:val="bullet"/>
      <w:lvlText w:val="•"/>
      <w:lvlJc w:val="left"/>
      <w:pPr>
        <w:tabs>
          <w:tab w:val="num" w:pos="3600"/>
        </w:tabs>
        <w:ind w:left="3600" w:hanging="360"/>
      </w:pPr>
      <w:rPr>
        <w:rFonts w:ascii="Arial" w:hAnsi="Arial" w:hint="default"/>
      </w:rPr>
    </w:lvl>
    <w:lvl w:ilvl="5" w:tplc="5CE40E9E" w:tentative="1">
      <w:start w:val="1"/>
      <w:numFmt w:val="bullet"/>
      <w:lvlText w:val="•"/>
      <w:lvlJc w:val="left"/>
      <w:pPr>
        <w:tabs>
          <w:tab w:val="num" w:pos="4320"/>
        </w:tabs>
        <w:ind w:left="4320" w:hanging="360"/>
      </w:pPr>
      <w:rPr>
        <w:rFonts w:ascii="Arial" w:hAnsi="Arial" w:hint="default"/>
      </w:rPr>
    </w:lvl>
    <w:lvl w:ilvl="6" w:tplc="2A7EA410" w:tentative="1">
      <w:start w:val="1"/>
      <w:numFmt w:val="bullet"/>
      <w:lvlText w:val="•"/>
      <w:lvlJc w:val="left"/>
      <w:pPr>
        <w:tabs>
          <w:tab w:val="num" w:pos="5040"/>
        </w:tabs>
        <w:ind w:left="5040" w:hanging="360"/>
      </w:pPr>
      <w:rPr>
        <w:rFonts w:ascii="Arial" w:hAnsi="Arial" w:hint="default"/>
      </w:rPr>
    </w:lvl>
    <w:lvl w:ilvl="7" w:tplc="7AE2C614" w:tentative="1">
      <w:start w:val="1"/>
      <w:numFmt w:val="bullet"/>
      <w:lvlText w:val="•"/>
      <w:lvlJc w:val="left"/>
      <w:pPr>
        <w:tabs>
          <w:tab w:val="num" w:pos="5760"/>
        </w:tabs>
        <w:ind w:left="5760" w:hanging="360"/>
      </w:pPr>
      <w:rPr>
        <w:rFonts w:ascii="Arial" w:hAnsi="Arial" w:hint="default"/>
      </w:rPr>
    </w:lvl>
    <w:lvl w:ilvl="8" w:tplc="877ADB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2E2962"/>
    <w:multiLevelType w:val="hybridMultilevel"/>
    <w:tmpl w:val="A7A27BFE"/>
    <w:lvl w:ilvl="0" w:tplc="520602D2">
      <w:start w:val="1"/>
      <w:numFmt w:val="bullet"/>
      <w:lvlText w:val="•"/>
      <w:lvlJc w:val="left"/>
      <w:pPr>
        <w:tabs>
          <w:tab w:val="num" w:pos="720"/>
        </w:tabs>
        <w:ind w:left="720" w:hanging="360"/>
      </w:pPr>
      <w:rPr>
        <w:rFonts w:ascii="Arial" w:hAnsi="Arial" w:hint="default"/>
      </w:rPr>
    </w:lvl>
    <w:lvl w:ilvl="1" w:tplc="ACD867CC" w:tentative="1">
      <w:start w:val="1"/>
      <w:numFmt w:val="bullet"/>
      <w:lvlText w:val="•"/>
      <w:lvlJc w:val="left"/>
      <w:pPr>
        <w:tabs>
          <w:tab w:val="num" w:pos="1440"/>
        </w:tabs>
        <w:ind w:left="1440" w:hanging="360"/>
      </w:pPr>
      <w:rPr>
        <w:rFonts w:ascii="Arial" w:hAnsi="Arial" w:hint="default"/>
      </w:rPr>
    </w:lvl>
    <w:lvl w:ilvl="2" w:tplc="6B306FA2" w:tentative="1">
      <w:start w:val="1"/>
      <w:numFmt w:val="bullet"/>
      <w:lvlText w:val="•"/>
      <w:lvlJc w:val="left"/>
      <w:pPr>
        <w:tabs>
          <w:tab w:val="num" w:pos="2160"/>
        </w:tabs>
        <w:ind w:left="2160" w:hanging="360"/>
      </w:pPr>
      <w:rPr>
        <w:rFonts w:ascii="Arial" w:hAnsi="Arial" w:hint="default"/>
      </w:rPr>
    </w:lvl>
    <w:lvl w:ilvl="3" w:tplc="0DDC0C38" w:tentative="1">
      <w:start w:val="1"/>
      <w:numFmt w:val="bullet"/>
      <w:lvlText w:val="•"/>
      <w:lvlJc w:val="left"/>
      <w:pPr>
        <w:tabs>
          <w:tab w:val="num" w:pos="2880"/>
        </w:tabs>
        <w:ind w:left="2880" w:hanging="360"/>
      </w:pPr>
      <w:rPr>
        <w:rFonts w:ascii="Arial" w:hAnsi="Arial" w:hint="default"/>
      </w:rPr>
    </w:lvl>
    <w:lvl w:ilvl="4" w:tplc="25907BCA" w:tentative="1">
      <w:start w:val="1"/>
      <w:numFmt w:val="bullet"/>
      <w:lvlText w:val="•"/>
      <w:lvlJc w:val="left"/>
      <w:pPr>
        <w:tabs>
          <w:tab w:val="num" w:pos="3600"/>
        </w:tabs>
        <w:ind w:left="3600" w:hanging="360"/>
      </w:pPr>
      <w:rPr>
        <w:rFonts w:ascii="Arial" w:hAnsi="Arial" w:hint="default"/>
      </w:rPr>
    </w:lvl>
    <w:lvl w:ilvl="5" w:tplc="7BF27BC8" w:tentative="1">
      <w:start w:val="1"/>
      <w:numFmt w:val="bullet"/>
      <w:lvlText w:val="•"/>
      <w:lvlJc w:val="left"/>
      <w:pPr>
        <w:tabs>
          <w:tab w:val="num" w:pos="4320"/>
        </w:tabs>
        <w:ind w:left="4320" w:hanging="360"/>
      </w:pPr>
      <w:rPr>
        <w:rFonts w:ascii="Arial" w:hAnsi="Arial" w:hint="default"/>
      </w:rPr>
    </w:lvl>
    <w:lvl w:ilvl="6" w:tplc="248C9780" w:tentative="1">
      <w:start w:val="1"/>
      <w:numFmt w:val="bullet"/>
      <w:lvlText w:val="•"/>
      <w:lvlJc w:val="left"/>
      <w:pPr>
        <w:tabs>
          <w:tab w:val="num" w:pos="5040"/>
        </w:tabs>
        <w:ind w:left="5040" w:hanging="360"/>
      </w:pPr>
      <w:rPr>
        <w:rFonts w:ascii="Arial" w:hAnsi="Arial" w:hint="default"/>
      </w:rPr>
    </w:lvl>
    <w:lvl w:ilvl="7" w:tplc="AA0ACA6C" w:tentative="1">
      <w:start w:val="1"/>
      <w:numFmt w:val="bullet"/>
      <w:lvlText w:val="•"/>
      <w:lvlJc w:val="left"/>
      <w:pPr>
        <w:tabs>
          <w:tab w:val="num" w:pos="5760"/>
        </w:tabs>
        <w:ind w:left="5760" w:hanging="360"/>
      </w:pPr>
      <w:rPr>
        <w:rFonts w:ascii="Arial" w:hAnsi="Arial" w:hint="default"/>
      </w:rPr>
    </w:lvl>
    <w:lvl w:ilvl="8" w:tplc="341464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F270C4"/>
    <w:multiLevelType w:val="hybridMultilevel"/>
    <w:tmpl w:val="BABEC100"/>
    <w:lvl w:ilvl="0" w:tplc="9536BE10">
      <w:start w:val="1"/>
      <w:numFmt w:val="bullet"/>
      <w:lvlText w:val="•"/>
      <w:lvlJc w:val="left"/>
      <w:pPr>
        <w:tabs>
          <w:tab w:val="num" w:pos="720"/>
        </w:tabs>
        <w:ind w:left="720" w:hanging="360"/>
      </w:pPr>
      <w:rPr>
        <w:rFonts w:ascii="Arial" w:hAnsi="Arial" w:hint="default"/>
      </w:rPr>
    </w:lvl>
    <w:lvl w:ilvl="1" w:tplc="F4CE1BE0">
      <w:start w:val="174"/>
      <w:numFmt w:val="bullet"/>
      <w:lvlText w:val="•"/>
      <w:lvlJc w:val="left"/>
      <w:pPr>
        <w:tabs>
          <w:tab w:val="num" w:pos="1440"/>
        </w:tabs>
        <w:ind w:left="1440" w:hanging="360"/>
      </w:pPr>
      <w:rPr>
        <w:rFonts w:ascii="Arial" w:hAnsi="Arial" w:hint="default"/>
      </w:rPr>
    </w:lvl>
    <w:lvl w:ilvl="2" w:tplc="DF7E8B54" w:tentative="1">
      <w:start w:val="1"/>
      <w:numFmt w:val="bullet"/>
      <w:lvlText w:val="•"/>
      <w:lvlJc w:val="left"/>
      <w:pPr>
        <w:tabs>
          <w:tab w:val="num" w:pos="2160"/>
        </w:tabs>
        <w:ind w:left="2160" w:hanging="360"/>
      </w:pPr>
      <w:rPr>
        <w:rFonts w:ascii="Arial" w:hAnsi="Arial" w:hint="default"/>
      </w:rPr>
    </w:lvl>
    <w:lvl w:ilvl="3" w:tplc="93080248" w:tentative="1">
      <w:start w:val="1"/>
      <w:numFmt w:val="bullet"/>
      <w:lvlText w:val="•"/>
      <w:lvlJc w:val="left"/>
      <w:pPr>
        <w:tabs>
          <w:tab w:val="num" w:pos="2880"/>
        </w:tabs>
        <w:ind w:left="2880" w:hanging="360"/>
      </w:pPr>
      <w:rPr>
        <w:rFonts w:ascii="Arial" w:hAnsi="Arial" w:hint="default"/>
      </w:rPr>
    </w:lvl>
    <w:lvl w:ilvl="4" w:tplc="ECC8767C" w:tentative="1">
      <w:start w:val="1"/>
      <w:numFmt w:val="bullet"/>
      <w:lvlText w:val="•"/>
      <w:lvlJc w:val="left"/>
      <w:pPr>
        <w:tabs>
          <w:tab w:val="num" w:pos="3600"/>
        </w:tabs>
        <w:ind w:left="3600" w:hanging="360"/>
      </w:pPr>
      <w:rPr>
        <w:rFonts w:ascii="Arial" w:hAnsi="Arial" w:hint="default"/>
      </w:rPr>
    </w:lvl>
    <w:lvl w:ilvl="5" w:tplc="DF74DF22" w:tentative="1">
      <w:start w:val="1"/>
      <w:numFmt w:val="bullet"/>
      <w:lvlText w:val="•"/>
      <w:lvlJc w:val="left"/>
      <w:pPr>
        <w:tabs>
          <w:tab w:val="num" w:pos="4320"/>
        </w:tabs>
        <w:ind w:left="4320" w:hanging="360"/>
      </w:pPr>
      <w:rPr>
        <w:rFonts w:ascii="Arial" w:hAnsi="Arial" w:hint="default"/>
      </w:rPr>
    </w:lvl>
    <w:lvl w:ilvl="6" w:tplc="C014701A" w:tentative="1">
      <w:start w:val="1"/>
      <w:numFmt w:val="bullet"/>
      <w:lvlText w:val="•"/>
      <w:lvlJc w:val="left"/>
      <w:pPr>
        <w:tabs>
          <w:tab w:val="num" w:pos="5040"/>
        </w:tabs>
        <w:ind w:left="5040" w:hanging="360"/>
      </w:pPr>
      <w:rPr>
        <w:rFonts w:ascii="Arial" w:hAnsi="Arial" w:hint="default"/>
      </w:rPr>
    </w:lvl>
    <w:lvl w:ilvl="7" w:tplc="2C16CF00" w:tentative="1">
      <w:start w:val="1"/>
      <w:numFmt w:val="bullet"/>
      <w:lvlText w:val="•"/>
      <w:lvlJc w:val="left"/>
      <w:pPr>
        <w:tabs>
          <w:tab w:val="num" w:pos="5760"/>
        </w:tabs>
        <w:ind w:left="5760" w:hanging="360"/>
      </w:pPr>
      <w:rPr>
        <w:rFonts w:ascii="Arial" w:hAnsi="Arial" w:hint="default"/>
      </w:rPr>
    </w:lvl>
    <w:lvl w:ilvl="8" w:tplc="CC56B9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4B4454"/>
    <w:multiLevelType w:val="hybridMultilevel"/>
    <w:tmpl w:val="03DED868"/>
    <w:lvl w:ilvl="0" w:tplc="D17290DC">
      <w:start w:val="1"/>
      <w:numFmt w:val="bullet"/>
      <w:lvlText w:val="•"/>
      <w:lvlJc w:val="left"/>
      <w:pPr>
        <w:tabs>
          <w:tab w:val="num" w:pos="720"/>
        </w:tabs>
        <w:ind w:left="720" w:hanging="360"/>
      </w:pPr>
      <w:rPr>
        <w:rFonts w:ascii="Arial" w:hAnsi="Arial" w:hint="default"/>
      </w:rPr>
    </w:lvl>
    <w:lvl w:ilvl="1" w:tplc="EBBC3B5C" w:tentative="1">
      <w:start w:val="1"/>
      <w:numFmt w:val="bullet"/>
      <w:lvlText w:val="•"/>
      <w:lvlJc w:val="left"/>
      <w:pPr>
        <w:tabs>
          <w:tab w:val="num" w:pos="1440"/>
        </w:tabs>
        <w:ind w:left="1440" w:hanging="360"/>
      </w:pPr>
      <w:rPr>
        <w:rFonts w:ascii="Arial" w:hAnsi="Arial" w:hint="default"/>
      </w:rPr>
    </w:lvl>
    <w:lvl w:ilvl="2" w:tplc="88C2113E" w:tentative="1">
      <w:start w:val="1"/>
      <w:numFmt w:val="bullet"/>
      <w:lvlText w:val="•"/>
      <w:lvlJc w:val="left"/>
      <w:pPr>
        <w:tabs>
          <w:tab w:val="num" w:pos="2160"/>
        </w:tabs>
        <w:ind w:left="2160" w:hanging="360"/>
      </w:pPr>
      <w:rPr>
        <w:rFonts w:ascii="Arial" w:hAnsi="Arial" w:hint="default"/>
      </w:rPr>
    </w:lvl>
    <w:lvl w:ilvl="3" w:tplc="EAB00174" w:tentative="1">
      <w:start w:val="1"/>
      <w:numFmt w:val="bullet"/>
      <w:lvlText w:val="•"/>
      <w:lvlJc w:val="left"/>
      <w:pPr>
        <w:tabs>
          <w:tab w:val="num" w:pos="2880"/>
        </w:tabs>
        <w:ind w:left="2880" w:hanging="360"/>
      </w:pPr>
      <w:rPr>
        <w:rFonts w:ascii="Arial" w:hAnsi="Arial" w:hint="default"/>
      </w:rPr>
    </w:lvl>
    <w:lvl w:ilvl="4" w:tplc="3760D8B4" w:tentative="1">
      <w:start w:val="1"/>
      <w:numFmt w:val="bullet"/>
      <w:lvlText w:val="•"/>
      <w:lvlJc w:val="left"/>
      <w:pPr>
        <w:tabs>
          <w:tab w:val="num" w:pos="3600"/>
        </w:tabs>
        <w:ind w:left="3600" w:hanging="360"/>
      </w:pPr>
      <w:rPr>
        <w:rFonts w:ascii="Arial" w:hAnsi="Arial" w:hint="default"/>
      </w:rPr>
    </w:lvl>
    <w:lvl w:ilvl="5" w:tplc="F576550C" w:tentative="1">
      <w:start w:val="1"/>
      <w:numFmt w:val="bullet"/>
      <w:lvlText w:val="•"/>
      <w:lvlJc w:val="left"/>
      <w:pPr>
        <w:tabs>
          <w:tab w:val="num" w:pos="4320"/>
        </w:tabs>
        <w:ind w:left="4320" w:hanging="360"/>
      </w:pPr>
      <w:rPr>
        <w:rFonts w:ascii="Arial" w:hAnsi="Arial" w:hint="default"/>
      </w:rPr>
    </w:lvl>
    <w:lvl w:ilvl="6" w:tplc="42E0E900" w:tentative="1">
      <w:start w:val="1"/>
      <w:numFmt w:val="bullet"/>
      <w:lvlText w:val="•"/>
      <w:lvlJc w:val="left"/>
      <w:pPr>
        <w:tabs>
          <w:tab w:val="num" w:pos="5040"/>
        </w:tabs>
        <w:ind w:left="5040" w:hanging="360"/>
      </w:pPr>
      <w:rPr>
        <w:rFonts w:ascii="Arial" w:hAnsi="Arial" w:hint="default"/>
      </w:rPr>
    </w:lvl>
    <w:lvl w:ilvl="7" w:tplc="6C50B50A" w:tentative="1">
      <w:start w:val="1"/>
      <w:numFmt w:val="bullet"/>
      <w:lvlText w:val="•"/>
      <w:lvlJc w:val="left"/>
      <w:pPr>
        <w:tabs>
          <w:tab w:val="num" w:pos="5760"/>
        </w:tabs>
        <w:ind w:left="5760" w:hanging="360"/>
      </w:pPr>
      <w:rPr>
        <w:rFonts w:ascii="Arial" w:hAnsi="Arial" w:hint="default"/>
      </w:rPr>
    </w:lvl>
    <w:lvl w:ilvl="8" w:tplc="E736C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1"/>
  </w:num>
  <w:num w:numId="3">
    <w:abstractNumId w:val="5"/>
  </w:num>
  <w:num w:numId="4">
    <w:abstractNumId w:val="2"/>
  </w:num>
  <w:num w:numId="5">
    <w:abstractNumId w:val="17"/>
  </w:num>
  <w:num w:numId="6">
    <w:abstractNumId w:val="3"/>
  </w:num>
  <w:num w:numId="7">
    <w:abstractNumId w:val="15"/>
  </w:num>
  <w:num w:numId="8">
    <w:abstractNumId w:val="10"/>
  </w:num>
  <w:num w:numId="9">
    <w:abstractNumId w:val="7"/>
  </w:num>
  <w:num w:numId="10">
    <w:abstractNumId w:val="8"/>
  </w:num>
  <w:num w:numId="11">
    <w:abstractNumId w:val="4"/>
  </w:num>
  <w:num w:numId="12">
    <w:abstractNumId w:val="0"/>
  </w:num>
  <w:num w:numId="13">
    <w:abstractNumId w:val="18"/>
  </w:num>
  <w:num w:numId="14">
    <w:abstractNumId w:val="13"/>
  </w:num>
  <w:num w:numId="15">
    <w:abstractNumId w:val="12"/>
  </w:num>
  <w:num w:numId="16">
    <w:abstractNumId w:val="20"/>
  </w:num>
  <w:num w:numId="17">
    <w:abstractNumId w:val="19"/>
  </w:num>
  <w:num w:numId="18">
    <w:abstractNumId w:val="6"/>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44"/>
    <w:rsid w:val="00005633"/>
    <w:rsid w:val="000109C3"/>
    <w:rsid w:val="0004132B"/>
    <w:rsid w:val="001216FA"/>
    <w:rsid w:val="00160069"/>
    <w:rsid w:val="001974AD"/>
    <w:rsid w:val="001E630D"/>
    <w:rsid w:val="00252531"/>
    <w:rsid w:val="00262211"/>
    <w:rsid w:val="00284DC9"/>
    <w:rsid w:val="00287EA6"/>
    <w:rsid w:val="00295EB5"/>
    <w:rsid w:val="002B7344"/>
    <w:rsid w:val="003A437C"/>
    <w:rsid w:val="003B2BB8"/>
    <w:rsid w:val="003D34FF"/>
    <w:rsid w:val="003F7340"/>
    <w:rsid w:val="004005CE"/>
    <w:rsid w:val="00464BF9"/>
    <w:rsid w:val="00482931"/>
    <w:rsid w:val="00483EAD"/>
    <w:rsid w:val="00491844"/>
    <w:rsid w:val="004B54CA"/>
    <w:rsid w:val="004E5CBF"/>
    <w:rsid w:val="004F5078"/>
    <w:rsid w:val="004F6DF4"/>
    <w:rsid w:val="00567797"/>
    <w:rsid w:val="0058105D"/>
    <w:rsid w:val="005C3AA9"/>
    <w:rsid w:val="005E2C7F"/>
    <w:rsid w:val="00621FC5"/>
    <w:rsid w:val="00634DA3"/>
    <w:rsid w:val="00637B02"/>
    <w:rsid w:val="00683A84"/>
    <w:rsid w:val="006A4CE7"/>
    <w:rsid w:val="006B53B9"/>
    <w:rsid w:val="006D03FC"/>
    <w:rsid w:val="00785261"/>
    <w:rsid w:val="007A0F3E"/>
    <w:rsid w:val="007B0256"/>
    <w:rsid w:val="007C614E"/>
    <w:rsid w:val="008107C1"/>
    <w:rsid w:val="0083177B"/>
    <w:rsid w:val="008771AD"/>
    <w:rsid w:val="00896489"/>
    <w:rsid w:val="008A2BEC"/>
    <w:rsid w:val="008F75F4"/>
    <w:rsid w:val="009225F0"/>
    <w:rsid w:val="0093462C"/>
    <w:rsid w:val="00941B0D"/>
    <w:rsid w:val="00953795"/>
    <w:rsid w:val="00960C2F"/>
    <w:rsid w:val="00967470"/>
    <w:rsid w:val="00974189"/>
    <w:rsid w:val="009965F5"/>
    <w:rsid w:val="00AF7880"/>
    <w:rsid w:val="00B04ED8"/>
    <w:rsid w:val="00B06BA6"/>
    <w:rsid w:val="00B33C4D"/>
    <w:rsid w:val="00B41018"/>
    <w:rsid w:val="00B715A5"/>
    <w:rsid w:val="00B91E3E"/>
    <w:rsid w:val="00BA2DB9"/>
    <w:rsid w:val="00BE7148"/>
    <w:rsid w:val="00C34366"/>
    <w:rsid w:val="00C7209B"/>
    <w:rsid w:val="00C84DD7"/>
    <w:rsid w:val="00CB5863"/>
    <w:rsid w:val="00D051AB"/>
    <w:rsid w:val="00D26BB4"/>
    <w:rsid w:val="00DA243A"/>
    <w:rsid w:val="00DD33A9"/>
    <w:rsid w:val="00E270F7"/>
    <w:rsid w:val="00E273E4"/>
    <w:rsid w:val="00E837A9"/>
    <w:rsid w:val="00E93E3C"/>
    <w:rsid w:val="00EE7C60"/>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2B73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F7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80"/>
    <w:rPr>
      <w:rFonts w:ascii="Segoe UI" w:hAnsi="Segoe UI" w:cs="Segoe UI"/>
      <w:sz w:val="18"/>
      <w:szCs w:val="18"/>
    </w:rPr>
  </w:style>
  <w:style w:type="paragraph" w:styleId="BodyText">
    <w:name w:val="Body Text"/>
    <w:basedOn w:val="Normal"/>
    <w:link w:val="BodyTextChar"/>
    <w:uiPriority w:val="1"/>
    <w:qFormat/>
    <w:rsid w:val="007C614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C614E"/>
    <w:rPr>
      <w:rFonts w:ascii="Calibri" w:eastAsia="Calibri" w:hAnsi="Calibri" w:cs="Calibri"/>
      <w:sz w:val="24"/>
      <w:szCs w:val="24"/>
    </w:rPr>
  </w:style>
  <w:style w:type="table" w:styleId="GridTable3">
    <w:name w:val="Grid Table 3"/>
    <w:basedOn w:val="TableNormal"/>
    <w:uiPriority w:val="48"/>
    <w:rsid w:val="009965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9965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965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45">
      <w:bodyDiv w:val="1"/>
      <w:marLeft w:val="0"/>
      <w:marRight w:val="0"/>
      <w:marTop w:val="0"/>
      <w:marBottom w:val="0"/>
      <w:divBdr>
        <w:top w:val="none" w:sz="0" w:space="0" w:color="auto"/>
        <w:left w:val="none" w:sz="0" w:space="0" w:color="auto"/>
        <w:bottom w:val="none" w:sz="0" w:space="0" w:color="auto"/>
        <w:right w:val="none" w:sz="0" w:space="0" w:color="auto"/>
      </w:divBdr>
    </w:div>
    <w:div w:id="41372362">
      <w:bodyDiv w:val="1"/>
      <w:marLeft w:val="0"/>
      <w:marRight w:val="0"/>
      <w:marTop w:val="0"/>
      <w:marBottom w:val="0"/>
      <w:divBdr>
        <w:top w:val="none" w:sz="0" w:space="0" w:color="auto"/>
        <w:left w:val="none" w:sz="0" w:space="0" w:color="auto"/>
        <w:bottom w:val="none" w:sz="0" w:space="0" w:color="auto"/>
        <w:right w:val="none" w:sz="0" w:space="0" w:color="auto"/>
      </w:divBdr>
    </w:div>
    <w:div w:id="56129279">
      <w:bodyDiv w:val="1"/>
      <w:marLeft w:val="0"/>
      <w:marRight w:val="0"/>
      <w:marTop w:val="0"/>
      <w:marBottom w:val="0"/>
      <w:divBdr>
        <w:top w:val="none" w:sz="0" w:space="0" w:color="auto"/>
        <w:left w:val="none" w:sz="0" w:space="0" w:color="auto"/>
        <w:bottom w:val="none" w:sz="0" w:space="0" w:color="auto"/>
        <w:right w:val="none" w:sz="0" w:space="0" w:color="auto"/>
      </w:divBdr>
    </w:div>
    <w:div w:id="59452842">
      <w:bodyDiv w:val="1"/>
      <w:marLeft w:val="0"/>
      <w:marRight w:val="0"/>
      <w:marTop w:val="0"/>
      <w:marBottom w:val="0"/>
      <w:divBdr>
        <w:top w:val="none" w:sz="0" w:space="0" w:color="auto"/>
        <w:left w:val="none" w:sz="0" w:space="0" w:color="auto"/>
        <w:bottom w:val="none" w:sz="0" w:space="0" w:color="auto"/>
        <w:right w:val="none" w:sz="0" w:space="0" w:color="auto"/>
      </w:divBdr>
    </w:div>
    <w:div w:id="62915043">
      <w:bodyDiv w:val="1"/>
      <w:marLeft w:val="0"/>
      <w:marRight w:val="0"/>
      <w:marTop w:val="0"/>
      <w:marBottom w:val="0"/>
      <w:divBdr>
        <w:top w:val="none" w:sz="0" w:space="0" w:color="auto"/>
        <w:left w:val="none" w:sz="0" w:space="0" w:color="auto"/>
        <w:bottom w:val="none" w:sz="0" w:space="0" w:color="auto"/>
        <w:right w:val="none" w:sz="0" w:space="0" w:color="auto"/>
      </w:divBdr>
    </w:div>
    <w:div w:id="118693556">
      <w:bodyDiv w:val="1"/>
      <w:marLeft w:val="0"/>
      <w:marRight w:val="0"/>
      <w:marTop w:val="0"/>
      <w:marBottom w:val="0"/>
      <w:divBdr>
        <w:top w:val="none" w:sz="0" w:space="0" w:color="auto"/>
        <w:left w:val="none" w:sz="0" w:space="0" w:color="auto"/>
        <w:bottom w:val="none" w:sz="0" w:space="0" w:color="auto"/>
        <w:right w:val="none" w:sz="0" w:space="0" w:color="auto"/>
      </w:divBdr>
    </w:div>
    <w:div w:id="156728537">
      <w:bodyDiv w:val="1"/>
      <w:marLeft w:val="0"/>
      <w:marRight w:val="0"/>
      <w:marTop w:val="0"/>
      <w:marBottom w:val="0"/>
      <w:divBdr>
        <w:top w:val="none" w:sz="0" w:space="0" w:color="auto"/>
        <w:left w:val="none" w:sz="0" w:space="0" w:color="auto"/>
        <w:bottom w:val="none" w:sz="0" w:space="0" w:color="auto"/>
        <w:right w:val="none" w:sz="0" w:space="0" w:color="auto"/>
      </w:divBdr>
    </w:div>
    <w:div w:id="205072088">
      <w:bodyDiv w:val="1"/>
      <w:marLeft w:val="0"/>
      <w:marRight w:val="0"/>
      <w:marTop w:val="0"/>
      <w:marBottom w:val="0"/>
      <w:divBdr>
        <w:top w:val="none" w:sz="0" w:space="0" w:color="auto"/>
        <w:left w:val="none" w:sz="0" w:space="0" w:color="auto"/>
        <w:bottom w:val="none" w:sz="0" w:space="0" w:color="auto"/>
        <w:right w:val="none" w:sz="0" w:space="0" w:color="auto"/>
      </w:divBdr>
    </w:div>
    <w:div w:id="210582017">
      <w:bodyDiv w:val="1"/>
      <w:marLeft w:val="0"/>
      <w:marRight w:val="0"/>
      <w:marTop w:val="0"/>
      <w:marBottom w:val="0"/>
      <w:divBdr>
        <w:top w:val="none" w:sz="0" w:space="0" w:color="auto"/>
        <w:left w:val="none" w:sz="0" w:space="0" w:color="auto"/>
        <w:bottom w:val="none" w:sz="0" w:space="0" w:color="auto"/>
        <w:right w:val="none" w:sz="0" w:space="0" w:color="auto"/>
      </w:divBdr>
    </w:div>
    <w:div w:id="228733378">
      <w:bodyDiv w:val="1"/>
      <w:marLeft w:val="0"/>
      <w:marRight w:val="0"/>
      <w:marTop w:val="0"/>
      <w:marBottom w:val="0"/>
      <w:divBdr>
        <w:top w:val="none" w:sz="0" w:space="0" w:color="auto"/>
        <w:left w:val="none" w:sz="0" w:space="0" w:color="auto"/>
        <w:bottom w:val="none" w:sz="0" w:space="0" w:color="auto"/>
        <w:right w:val="none" w:sz="0" w:space="0" w:color="auto"/>
      </w:divBdr>
      <w:divsChild>
        <w:div w:id="181743082">
          <w:marLeft w:val="288"/>
          <w:marRight w:val="0"/>
          <w:marTop w:val="100"/>
          <w:marBottom w:val="0"/>
          <w:divBdr>
            <w:top w:val="none" w:sz="0" w:space="0" w:color="auto"/>
            <w:left w:val="none" w:sz="0" w:space="0" w:color="auto"/>
            <w:bottom w:val="none" w:sz="0" w:space="0" w:color="auto"/>
            <w:right w:val="none" w:sz="0" w:space="0" w:color="auto"/>
          </w:divBdr>
        </w:div>
        <w:div w:id="2135126063">
          <w:marLeft w:val="1008"/>
          <w:marRight w:val="14"/>
          <w:marTop w:val="0"/>
          <w:marBottom w:val="0"/>
          <w:divBdr>
            <w:top w:val="none" w:sz="0" w:space="0" w:color="auto"/>
            <w:left w:val="none" w:sz="0" w:space="0" w:color="auto"/>
            <w:bottom w:val="none" w:sz="0" w:space="0" w:color="auto"/>
            <w:right w:val="none" w:sz="0" w:space="0" w:color="auto"/>
          </w:divBdr>
        </w:div>
        <w:div w:id="1220744550">
          <w:marLeft w:val="1008"/>
          <w:marRight w:val="302"/>
          <w:marTop w:val="1"/>
          <w:marBottom w:val="0"/>
          <w:divBdr>
            <w:top w:val="none" w:sz="0" w:space="0" w:color="auto"/>
            <w:left w:val="none" w:sz="0" w:space="0" w:color="auto"/>
            <w:bottom w:val="none" w:sz="0" w:space="0" w:color="auto"/>
            <w:right w:val="none" w:sz="0" w:space="0" w:color="auto"/>
          </w:divBdr>
        </w:div>
        <w:div w:id="1821729721">
          <w:marLeft w:val="288"/>
          <w:marRight w:val="43"/>
          <w:marTop w:val="0"/>
          <w:marBottom w:val="0"/>
          <w:divBdr>
            <w:top w:val="none" w:sz="0" w:space="0" w:color="auto"/>
            <w:left w:val="none" w:sz="0" w:space="0" w:color="auto"/>
            <w:bottom w:val="none" w:sz="0" w:space="0" w:color="auto"/>
            <w:right w:val="none" w:sz="0" w:space="0" w:color="auto"/>
          </w:divBdr>
        </w:div>
        <w:div w:id="1594313168">
          <w:marLeft w:val="288"/>
          <w:marRight w:val="331"/>
          <w:marTop w:val="0"/>
          <w:marBottom w:val="0"/>
          <w:divBdr>
            <w:top w:val="none" w:sz="0" w:space="0" w:color="auto"/>
            <w:left w:val="none" w:sz="0" w:space="0" w:color="auto"/>
            <w:bottom w:val="none" w:sz="0" w:space="0" w:color="auto"/>
            <w:right w:val="none" w:sz="0" w:space="0" w:color="auto"/>
          </w:divBdr>
        </w:div>
        <w:div w:id="1717662272">
          <w:marLeft w:val="288"/>
          <w:marRight w:val="0"/>
          <w:marTop w:val="0"/>
          <w:marBottom w:val="0"/>
          <w:divBdr>
            <w:top w:val="none" w:sz="0" w:space="0" w:color="auto"/>
            <w:left w:val="none" w:sz="0" w:space="0" w:color="auto"/>
            <w:bottom w:val="none" w:sz="0" w:space="0" w:color="auto"/>
            <w:right w:val="none" w:sz="0" w:space="0" w:color="auto"/>
          </w:divBdr>
        </w:div>
        <w:div w:id="1270507751">
          <w:marLeft w:val="288"/>
          <w:marRight w:val="346"/>
          <w:marTop w:val="0"/>
          <w:marBottom w:val="0"/>
          <w:divBdr>
            <w:top w:val="none" w:sz="0" w:space="0" w:color="auto"/>
            <w:left w:val="none" w:sz="0" w:space="0" w:color="auto"/>
            <w:bottom w:val="none" w:sz="0" w:space="0" w:color="auto"/>
            <w:right w:val="none" w:sz="0" w:space="0" w:color="auto"/>
          </w:divBdr>
        </w:div>
      </w:divsChild>
    </w:div>
    <w:div w:id="231621442">
      <w:bodyDiv w:val="1"/>
      <w:marLeft w:val="0"/>
      <w:marRight w:val="0"/>
      <w:marTop w:val="0"/>
      <w:marBottom w:val="0"/>
      <w:divBdr>
        <w:top w:val="none" w:sz="0" w:space="0" w:color="auto"/>
        <w:left w:val="none" w:sz="0" w:space="0" w:color="auto"/>
        <w:bottom w:val="none" w:sz="0" w:space="0" w:color="auto"/>
        <w:right w:val="none" w:sz="0" w:space="0" w:color="auto"/>
      </w:divBdr>
    </w:div>
    <w:div w:id="273176067">
      <w:bodyDiv w:val="1"/>
      <w:marLeft w:val="0"/>
      <w:marRight w:val="0"/>
      <w:marTop w:val="0"/>
      <w:marBottom w:val="0"/>
      <w:divBdr>
        <w:top w:val="none" w:sz="0" w:space="0" w:color="auto"/>
        <w:left w:val="none" w:sz="0" w:space="0" w:color="auto"/>
        <w:bottom w:val="none" w:sz="0" w:space="0" w:color="auto"/>
        <w:right w:val="none" w:sz="0" w:space="0" w:color="auto"/>
      </w:divBdr>
    </w:div>
    <w:div w:id="324477737">
      <w:bodyDiv w:val="1"/>
      <w:marLeft w:val="0"/>
      <w:marRight w:val="0"/>
      <w:marTop w:val="0"/>
      <w:marBottom w:val="0"/>
      <w:divBdr>
        <w:top w:val="none" w:sz="0" w:space="0" w:color="auto"/>
        <w:left w:val="none" w:sz="0" w:space="0" w:color="auto"/>
        <w:bottom w:val="none" w:sz="0" w:space="0" w:color="auto"/>
        <w:right w:val="none" w:sz="0" w:space="0" w:color="auto"/>
      </w:divBdr>
    </w:div>
    <w:div w:id="367995811">
      <w:bodyDiv w:val="1"/>
      <w:marLeft w:val="0"/>
      <w:marRight w:val="0"/>
      <w:marTop w:val="0"/>
      <w:marBottom w:val="0"/>
      <w:divBdr>
        <w:top w:val="none" w:sz="0" w:space="0" w:color="auto"/>
        <w:left w:val="none" w:sz="0" w:space="0" w:color="auto"/>
        <w:bottom w:val="none" w:sz="0" w:space="0" w:color="auto"/>
        <w:right w:val="none" w:sz="0" w:space="0" w:color="auto"/>
      </w:divBdr>
    </w:div>
    <w:div w:id="373777279">
      <w:bodyDiv w:val="1"/>
      <w:marLeft w:val="0"/>
      <w:marRight w:val="0"/>
      <w:marTop w:val="0"/>
      <w:marBottom w:val="0"/>
      <w:divBdr>
        <w:top w:val="none" w:sz="0" w:space="0" w:color="auto"/>
        <w:left w:val="none" w:sz="0" w:space="0" w:color="auto"/>
        <w:bottom w:val="none" w:sz="0" w:space="0" w:color="auto"/>
        <w:right w:val="none" w:sz="0" w:space="0" w:color="auto"/>
      </w:divBdr>
    </w:div>
    <w:div w:id="448476229">
      <w:bodyDiv w:val="1"/>
      <w:marLeft w:val="0"/>
      <w:marRight w:val="0"/>
      <w:marTop w:val="0"/>
      <w:marBottom w:val="0"/>
      <w:divBdr>
        <w:top w:val="none" w:sz="0" w:space="0" w:color="auto"/>
        <w:left w:val="none" w:sz="0" w:space="0" w:color="auto"/>
        <w:bottom w:val="none" w:sz="0" w:space="0" w:color="auto"/>
        <w:right w:val="none" w:sz="0" w:space="0" w:color="auto"/>
      </w:divBdr>
    </w:div>
    <w:div w:id="461576853">
      <w:bodyDiv w:val="1"/>
      <w:marLeft w:val="0"/>
      <w:marRight w:val="0"/>
      <w:marTop w:val="0"/>
      <w:marBottom w:val="0"/>
      <w:divBdr>
        <w:top w:val="none" w:sz="0" w:space="0" w:color="auto"/>
        <w:left w:val="none" w:sz="0" w:space="0" w:color="auto"/>
        <w:bottom w:val="none" w:sz="0" w:space="0" w:color="auto"/>
        <w:right w:val="none" w:sz="0" w:space="0" w:color="auto"/>
      </w:divBdr>
    </w:div>
    <w:div w:id="484474812">
      <w:bodyDiv w:val="1"/>
      <w:marLeft w:val="0"/>
      <w:marRight w:val="0"/>
      <w:marTop w:val="0"/>
      <w:marBottom w:val="0"/>
      <w:divBdr>
        <w:top w:val="none" w:sz="0" w:space="0" w:color="auto"/>
        <w:left w:val="none" w:sz="0" w:space="0" w:color="auto"/>
        <w:bottom w:val="none" w:sz="0" w:space="0" w:color="auto"/>
        <w:right w:val="none" w:sz="0" w:space="0" w:color="auto"/>
      </w:divBdr>
    </w:div>
    <w:div w:id="520824407">
      <w:bodyDiv w:val="1"/>
      <w:marLeft w:val="0"/>
      <w:marRight w:val="0"/>
      <w:marTop w:val="0"/>
      <w:marBottom w:val="0"/>
      <w:divBdr>
        <w:top w:val="none" w:sz="0" w:space="0" w:color="auto"/>
        <w:left w:val="none" w:sz="0" w:space="0" w:color="auto"/>
        <w:bottom w:val="none" w:sz="0" w:space="0" w:color="auto"/>
        <w:right w:val="none" w:sz="0" w:space="0" w:color="auto"/>
      </w:divBdr>
    </w:div>
    <w:div w:id="546070353">
      <w:bodyDiv w:val="1"/>
      <w:marLeft w:val="0"/>
      <w:marRight w:val="0"/>
      <w:marTop w:val="0"/>
      <w:marBottom w:val="0"/>
      <w:divBdr>
        <w:top w:val="none" w:sz="0" w:space="0" w:color="auto"/>
        <w:left w:val="none" w:sz="0" w:space="0" w:color="auto"/>
        <w:bottom w:val="none" w:sz="0" w:space="0" w:color="auto"/>
        <w:right w:val="none" w:sz="0" w:space="0" w:color="auto"/>
      </w:divBdr>
    </w:div>
    <w:div w:id="567963017">
      <w:bodyDiv w:val="1"/>
      <w:marLeft w:val="0"/>
      <w:marRight w:val="0"/>
      <w:marTop w:val="0"/>
      <w:marBottom w:val="0"/>
      <w:divBdr>
        <w:top w:val="none" w:sz="0" w:space="0" w:color="auto"/>
        <w:left w:val="none" w:sz="0" w:space="0" w:color="auto"/>
        <w:bottom w:val="none" w:sz="0" w:space="0" w:color="auto"/>
        <w:right w:val="none" w:sz="0" w:space="0" w:color="auto"/>
      </w:divBdr>
    </w:div>
    <w:div w:id="586615030">
      <w:bodyDiv w:val="1"/>
      <w:marLeft w:val="0"/>
      <w:marRight w:val="0"/>
      <w:marTop w:val="0"/>
      <w:marBottom w:val="0"/>
      <w:divBdr>
        <w:top w:val="none" w:sz="0" w:space="0" w:color="auto"/>
        <w:left w:val="none" w:sz="0" w:space="0" w:color="auto"/>
        <w:bottom w:val="none" w:sz="0" w:space="0" w:color="auto"/>
        <w:right w:val="none" w:sz="0" w:space="0" w:color="auto"/>
      </w:divBdr>
    </w:div>
    <w:div w:id="601887566">
      <w:bodyDiv w:val="1"/>
      <w:marLeft w:val="0"/>
      <w:marRight w:val="0"/>
      <w:marTop w:val="0"/>
      <w:marBottom w:val="0"/>
      <w:divBdr>
        <w:top w:val="none" w:sz="0" w:space="0" w:color="auto"/>
        <w:left w:val="none" w:sz="0" w:space="0" w:color="auto"/>
        <w:bottom w:val="none" w:sz="0" w:space="0" w:color="auto"/>
        <w:right w:val="none" w:sz="0" w:space="0" w:color="auto"/>
      </w:divBdr>
    </w:div>
    <w:div w:id="638726418">
      <w:bodyDiv w:val="1"/>
      <w:marLeft w:val="0"/>
      <w:marRight w:val="0"/>
      <w:marTop w:val="0"/>
      <w:marBottom w:val="0"/>
      <w:divBdr>
        <w:top w:val="none" w:sz="0" w:space="0" w:color="auto"/>
        <w:left w:val="none" w:sz="0" w:space="0" w:color="auto"/>
        <w:bottom w:val="none" w:sz="0" w:space="0" w:color="auto"/>
        <w:right w:val="none" w:sz="0" w:space="0" w:color="auto"/>
      </w:divBdr>
    </w:div>
    <w:div w:id="652567806">
      <w:bodyDiv w:val="1"/>
      <w:marLeft w:val="0"/>
      <w:marRight w:val="0"/>
      <w:marTop w:val="0"/>
      <w:marBottom w:val="0"/>
      <w:divBdr>
        <w:top w:val="none" w:sz="0" w:space="0" w:color="auto"/>
        <w:left w:val="none" w:sz="0" w:space="0" w:color="auto"/>
        <w:bottom w:val="none" w:sz="0" w:space="0" w:color="auto"/>
        <w:right w:val="none" w:sz="0" w:space="0" w:color="auto"/>
      </w:divBdr>
    </w:div>
    <w:div w:id="661157584">
      <w:bodyDiv w:val="1"/>
      <w:marLeft w:val="0"/>
      <w:marRight w:val="0"/>
      <w:marTop w:val="0"/>
      <w:marBottom w:val="0"/>
      <w:divBdr>
        <w:top w:val="none" w:sz="0" w:space="0" w:color="auto"/>
        <w:left w:val="none" w:sz="0" w:space="0" w:color="auto"/>
        <w:bottom w:val="none" w:sz="0" w:space="0" w:color="auto"/>
        <w:right w:val="none" w:sz="0" w:space="0" w:color="auto"/>
      </w:divBdr>
    </w:div>
    <w:div w:id="674041511">
      <w:bodyDiv w:val="1"/>
      <w:marLeft w:val="0"/>
      <w:marRight w:val="0"/>
      <w:marTop w:val="0"/>
      <w:marBottom w:val="0"/>
      <w:divBdr>
        <w:top w:val="none" w:sz="0" w:space="0" w:color="auto"/>
        <w:left w:val="none" w:sz="0" w:space="0" w:color="auto"/>
        <w:bottom w:val="none" w:sz="0" w:space="0" w:color="auto"/>
        <w:right w:val="none" w:sz="0" w:space="0" w:color="auto"/>
      </w:divBdr>
    </w:div>
    <w:div w:id="678889729">
      <w:bodyDiv w:val="1"/>
      <w:marLeft w:val="0"/>
      <w:marRight w:val="0"/>
      <w:marTop w:val="0"/>
      <w:marBottom w:val="0"/>
      <w:divBdr>
        <w:top w:val="none" w:sz="0" w:space="0" w:color="auto"/>
        <w:left w:val="none" w:sz="0" w:space="0" w:color="auto"/>
        <w:bottom w:val="none" w:sz="0" w:space="0" w:color="auto"/>
        <w:right w:val="none" w:sz="0" w:space="0" w:color="auto"/>
      </w:divBdr>
    </w:div>
    <w:div w:id="745882494">
      <w:bodyDiv w:val="1"/>
      <w:marLeft w:val="0"/>
      <w:marRight w:val="0"/>
      <w:marTop w:val="0"/>
      <w:marBottom w:val="0"/>
      <w:divBdr>
        <w:top w:val="none" w:sz="0" w:space="0" w:color="auto"/>
        <w:left w:val="none" w:sz="0" w:space="0" w:color="auto"/>
        <w:bottom w:val="none" w:sz="0" w:space="0" w:color="auto"/>
        <w:right w:val="none" w:sz="0" w:space="0" w:color="auto"/>
      </w:divBdr>
    </w:div>
    <w:div w:id="751663372">
      <w:bodyDiv w:val="1"/>
      <w:marLeft w:val="0"/>
      <w:marRight w:val="0"/>
      <w:marTop w:val="0"/>
      <w:marBottom w:val="0"/>
      <w:divBdr>
        <w:top w:val="none" w:sz="0" w:space="0" w:color="auto"/>
        <w:left w:val="none" w:sz="0" w:space="0" w:color="auto"/>
        <w:bottom w:val="none" w:sz="0" w:space="0" w:color="auto"/>
        <w:right w:val="none" w:sz="0" w:space="0" w:color="auto"/>
      </w:divBdr>
    </w:div>
    <w:div w:id="765229451">
      <w:bodyDiv w:val="1"/>
      <w:marLeft w:val="0"/>
      <w:marRight w:val="0"/>
      <w:marTop w:val="0"/>
      <w:marBottom w:val="0"/>
      <w:divBdr>
        <w:top w:val="none" w:sz="0" w:space="0" w:color="auto"/>
        <w:left w:val="none" w:sz="0" w:space="0" w:color="auto"/>
        <w:bottom w:val="none" w:sz="0" w:space="0" w:color="auto"/>
        <w:right w:val="none" w:sz="0" w:space="0" w:color="auto"/>
      </w:divBdr>
    </w:div>
    <w:div w:id="802816934">
      <w:bodyDiv w:val="1"/>
      <w:marLeft w:val="0"/>
      <w:marRight w:val="0"/>
      <w:marTop w:val="0"/>
      <w:marBottom w:val="0"/>
      <w:divBdr>
        <w:top w:val="none" w:sz="0" w:space="0" w:color="auto"/>
        <w:left w:val="none" w:sz="0" w:space="0" w:color="auto"/>
        <w:bottom w:val="none" w:sz="0" w:space="0" w:color="auto"/>
        <w:right w:val="none" w:sz="0" w:space="0" w:color="auto"/>
      </w:divBdr>
    </w:div>
    <w:div w:id="813838582">
      <w:bodyDiv w:val="1"/>
      <w:marLeft w:val="0"/>
      <w:marRight w:val="0"/>
      <w:marTop w:val="0"/>
      <w:marBottom w:val="0"/>
      <w:divBdr>
        <w:top w:val="none" w:sz="0" w:space="0" w:color="auto"/>
        <w:left w:val="none" w:sz="0" w:space="0" w:color="auto"/>
        <w:bottom w:val="none" w:sz="0" w:space="0" w:color="auto"/>
        <w:right w:val="none" w:sz="0" w:space="0" w:color="auto"/>
      </w:divBdr>
      <w:divsChild>
        <w:div w:id="1669022083">
          <w:marLeft w:val="878"/>
          <w:marRight w:val="101"/>
          <w:marTop w:val="0"/>
          <w:marBottom w:val="0"/>
          <w:divBdr>
            <w:top w:val="none" w:sz="0" w:space="0" w:color="auto"/>
            <w:left w:val="none" w:sz="0" w:space="0" w:color="auto"/>
            <w:bottom w:val="none" w:sz="0" w:space="0" w:color="auto"/>
            <w:right w:val="none" w:sz="0" w:space="0" w:color="auto"/>
          </w:divBdr>
        </w:div>
        <w:div w:id="1362635167">
          <w:marLeft w:val="878"/>
          <w:marRight w:val="0"/>
          <w:marTop w:val="0"/>
          <w:marBottom w:val="0"/>
          <w:divBdr>
            <w:top w:val="none" w:sz="0" w:space="0" w:color="auto"/>
            <w:left w:val="none" w:sz="0" w:space="0" w:color="auto"/>
            <w:bottom w:val="none" w:sz="0" w:space="0" w:color="auto"/>
            <w:right w:val="none" w:sz="0" w:space="0" w:color="auto"/>
          </w:divBdr>
        </w:div>
        <w:div w:id="2125152239">
          <w:marLeft w:val="878"/>
          <w:marRight w:val="0"/>
          <w:marTop w:val="0"/>
          <w:marBottom w:val="0"/>
          <w:divBdr>
            <w:top w:val="none" w:sz="0" w:space="0" w:color="auto"/>
            <w:left w:val="none" w:sz="0" w:space="0" w:color="auto"/>
            <w:bottom w:val="none" w:sz="0" w:space="0" w:color="auto"/>
            <w:right w:val="none" w:sz="0" w:space="0" w:color="auto"/>
          </w:divBdr>
        </w:div>
        <w:div w:id="565577730">
          <w:marLeft w:val="878"/>
          <w:marRight w:val="0"/>
          <w:marTop w:val="0"/>
          <w:marBottom w:val="0"/>
          <w:divBdr>
            <w:top w:val="none" w:sz="0" w:space="0" w:color="auto"/>
            <w:left w:val="none" w:sz="0" w:space="0" w:color="auto"/>
            <w:bottom w:val="none" w:sz="0" w:space="0" w:color="auto"/>
            <w:right w:val="none" w:sz="0" w:space="0" w:color="auto"/>
          </w:divBdr>
        </w:div>
        <w:div w:id="2036886356">
          <w:marLeft w:val="878"/>
          <w:marRight w:val="0"/>
          <w:marTop w:val="0"/>
          <w:marBottom w:val="0"/>
          <w:divBdr>
            <w:top w:val="none" w:sz="0" w:space="0" w:color="auto"/>
            <w:left w:val="none" w:sz="0" w:space="0" w:color="auto"/>
            <w:bottom w:val="none" w:sz="0" w:space="0" w:color="auto"/>
            <w:right w:val="none" w:sz="0" w:space="0" w:color="auto"/>
          </w:divBdr>
        </w:div>
        <w:div w:id="603726164">
          <w:marLeft w:val="878"/>
          <w:marRight w:val="0"/>
          <w:marTop w:val="0"/>
          <w:marBottom w:val="0"/>
          <w:divBdr>
            <w:top w:val="none" w:sz="0" w:space="0" w:color="auto"/>
            <w:left w:val="none" w:sz="0" w:space="0" w:color="auto"/>
            <w:bottom w:val="none" w:sz="0" w:space="0" w:color="auto"/>
            <w:right w:val="none" w:sz="0" w:space="0" w:color="auto"/>
          </w:divBdr>
        </w:div>
        <w:div w:id="607540678">
          <w:marLeft w:val="878"/>
          <w:marRight w:val="0"/>
          <w:marTop w:val="0"/>
          <w:marBottom w:val="0"/>
          <w:divBdr>
            <w:top w:val="none" w:sz="0" w:space="0" w:color="auto"/>
            <w:left w:val="none" w:sz="0" w:space="0" w:color="auto"/>
            <w:bottom w:val="none" w:sz="0" w:space="0" w:color="auto"/>
            <w:right w:val="none" w:sz="0" w:space="0" w:color="auto"/>
          </w:divBdr>
        </w:div>
        <w:div w:id="2034190379">
          <w:marLeft w:val="878"/>
          <w:marRight w:val="0"/>
          <w:marTop w:val="0"/>
          <w:marBottom w:val="0"/>
          <w:divBdr>
            <w:top w:val="none" w:sz="0" w:space="0" w:color="auto"/>
            <w:left w:val="none" w:sz="0" w:space="0" w:color="auto"/>
            <w:bottom w:val="none" w:sz="0" w:space="0" w:color="auto"/>
            <w:right w:val="none" w:sz="0" w:space="0" w:color="auto"/>
          </w:divBdr>
        </w:div>
        <w:div w:id="652947426">
          <w:marLeft w:val="878"/>
          <w:marRight w:val="0"/>
          <w:marTop w:val="0"/>
          <w:marBottom w:val="0"/>
          <w:divBdr>
            <w:top w:val="none" w:sz="0" w:space="0" w:color="auto"/>
            <w:left w:val="none" w:sz="0" w:space="0" w:color="auto"/>
            <w:bottom w:val="none" w:sz="0" w:space="0" w:color="auto"/>
            <w:right w:val="none" w:sz="0" w:space="0" w:color="auto"/>
          </w:divBdr>
        </w:div>
        <w:div w:id="1885407804">
          <w:marLeft w:val="878"/>
          <w:marRight w:val="0"/>
          <w:marTop w:val="0"/>
          <w:marBottom w:val="0"/>
          <w:divBdr>
            <w:top w:val="none" w:sz="0" w:space="0" w:color="auto"/>
            <w:left w:val="none" w:sz="0" w:space="0" w:color="auto"/>
            <w:bottom w:val="none" w:sz="0" w:space="0" w:color="auto"/>
            <w:right w:val="none" w:sz="0" w:space="0" w:color="auto"/>
          </w:divBdr>
        </w:div>
        <w:div w:id="1781147191">
          <w:marLeft w:val="878"/>
          <w:marRight w:val="504"/>
          <w:marTop w:val="0"/>
          <w:marBottom w:val="0"/>
          <w:divBdr>
            <w:top w:val="none" w:sz="0" w:space="0" w:color="auto"/>
            <w:left w:val="none" w:sz="0" w:space="0" w:color="auto"/>
            <w:bottom w:val="none" w:sz="0" w:space="0" w:color="auto"/>
            <w:right w:val="none" w:sz="0" w:space="0" w:color="auto"/>
          </w:divBdr>
        </w:div>
      </w:divsChild>
    </w:div>
    <w:div w:id="860780285">
      <w:bodyDiv w:val="1"/>
      <w:marLeft w:val="0"/>
      <w:marRight w:val="0"/>
      <w:marTop w:val="0"/>
      <w:marBottom w:val="0"/>
      <w:divBdr>
        <w:top w:val="none" w:sz="0" w:space="0" w:color="auto"/>
        <w:left w:val="none" w:sz="0" w:space="0" w:color="auto"/>
        <w:bottom w:val="none" w:sz="0" w:space="0" w:color="auto"/>
        <w:right w:val="none" w:sz="0" w:space="0" w:color="auto"/>
      </w:divBdr>
    </w:div>
    <w:div w:id="901251595">
      <w:bodyDiv w:val="1"/>
      <w:marLeft w:val="0"/>
      <w:marRight w:val="0"/>
      <w:marTop w:val="0"/>
      <w:marBottom w:val="0"/>
      <w:divBdr>
        <w:top w:val="none" w:sz="0" w:space="0" w:color="auto"/>
        <w:left w:val="none" w:sz="0" w:space="0" w:color="auto"/>
        <w:bottom w:val="none" w:sz="0" w:space="0" w:color="auto"/>
        <w:right w:val="none" w:sz="0" w:space="0" w:color="auto"/>
      </w:divBdr>
    </w:div>
    <w:div w:id="957759734">
      <w:bodyDiv w:val="1"/>
      <w:marLeft w:val="0"/>
      <w:marRight w:val="0"/>
      <w:marTop w:val="0"/>
      <w:marBottom w:val="0"/>
      <w:divBdr>
        <w:top w:val="none" w:sz="0" w:space="0" w:color="auto"/>
        <w:left w:val="none" w:sz="0" w:space="0" w:color="auto"/>
        <w:bottom w:val="none" w:sz="0" w:space="0" w:color="auto"/>
        <w:right w:val="none" w:sz="0" w:space="0" w:color="auto"/>
      </w:divBdr>
    </w:div>
    <w:div w:id="984166593">
      <w:bodyDiv w:val="1"/>
      <w:marLeft w:val="0"/>
      <w:marRight w:val="0"/>
      <w:marTop w:val="0"/>
      <w:marBottom w:val="0"/>
      <w:divBdr>
        <w:top w:val="none" w:sz="0" w:space="0" w:color="auto"/>
        <w:left w:val="none" w:sz="0" w:space="0" w:color="auto"/>
        <w:bottom w:val="none" w:sz="0" w:space="0" w:color="auto"/>
        <w:right w:val="none" w:sz="0" w:space="0" w:color="auto"/>
      </w:divBdr>
    </w:div>
    <w:div w:id="1020352289">
      <w:bodyDiv w:val="1"/>
      <w:marLeft w:val="0"/>
      <w:marRight w:val="0"/>
      <w:marTop w:val="0"/>
      <w:marBottom w:val="0"/>
      <w:divBdr>
        <w:top w:val="none" w:sz="0" w:space="0" w:color="auto"/>
        <w:left w:val="none" w:sz="0" w:space="0" w:color="auto"/>
        <w:bottom w:val="none" w:sz="0" w:space="0" w:color="auto"/>
        <w:right w:val="none" w:sz="0" w:space="0" w:color="auto"/>
      </w:divBdr>
    </w:div>
    <w:div w:id="1033463759">
      <w:bodyDiv w:val="1"/>
      <w:marLeft w:val="0"/>
      <w:marRight w:val="0"/>
      <w:marTop w:val="0"/>
      <w:marBottom w:val="0"/>
      <w:divBdr>
        <w:top w:val="none" w:sz="0" w:space="0" w:color="auto"/>
        <w:left w:val="none" w:sz="0" w:space="0" w:color="auto"/>
        <w:bottom w:val="none" w:sz="0" w:space="0" w:color="auto"/>
        <w:right w:val="none" w:sz="0" w:space="0" w:color="auto"/>
      </w:divBdr>
    </w:div>
    <w:div w:id="1048455820">
      <w:bodyDiv w:val="1"/>
      <w:marLeft w:val="0"/>
      <w:marRight w:val="0"/>
      <w:marTop w:val="0"/>
      <w:marBottom w:val="0"/>
      <w:divBdr>
        <w:top w:val="none" w:sz="0" w:space="0" w:color="auto"/>
        <w:left w:val="none" w:sz="0" w:space="0" w:color="auto"/>
        <w:bottom w:val="none" w:sz="0" w:space="0" w:color="auto"/>
        <w:right w:val="none" w:sz="0" w:space="0" w:color="auto"/>
      </w:divBdr>
    </w:div>
    <w:div w:id="1048723582">
      <w:bodyDiv w:val="1"/>
      <w:marLeft w:val="0"/>
      <w:marRight w:val="0"/>
      <w:marTop w:val="0"/>
      <w:marBottom w:val="0"/>
      <w:divBdr>
        <w:top w:val="none" w:sz="0" w:space="0" w:color="auto"/>
        <w:left w:val="none" w:sz="0" w:space="0" w:color="auto"/>
        <w:bottom w:val="none" w:sz="0" w:space="0" w:color="auto"/>
        <w:right w:val="none" w:sz="0" w:space="0" w:color="auto"/>
      </w:divBdr>
    </w:div>
    <w:div w:id="1093822801">
      <w:bodyDiv w:val="1"/>
      <w:marLeft w:val="0"/>
      <w:marRight w:val="0"/>
      <w:marTop w:val="0"/>
      <w:marBottom w:val="0"/>
      <w:divBdr>
        <w:top w:val="none" w:sz="0" w:space="0" w:color="auto"/>
        <w:left w:val="none" w:sz="0" w:space="0" w:color="auto"/>
        <w:bottom w:val="none" w:sz="0" w:space="0" w:color="auto"/>
        <w:right w:val="none" w:sz="0" w:space="0" w:color="auto"/>
      </w:divBdr>
    </w:div>
    <w:div w:id="1132020697">
      <w:bodyDiv w:val="1"/>
      <w:marLeft w:val="0"/>
      <w:marRight w:val="0"/>
      <w:marTop w:val="0"/>
      <w:marBottom w:val="0"/>
      <w:divBdr>
        <w:top w:val="none" w:sz="0" w:space="0" w:color="auto"/>
        <w:left w:val="none" w:sz="0" w:space="0" w:color="auto"/>
        <w:bottom w:val="none" w:sz="0" w:space="0" w:color="auto"/>
        <w:right w:val="none" w:sz="0" w:space="0" w:color="auto"/>
      </w:divBdr>
    </w:div>
    <w:div w:id="1144203688">
      <w:bodyDiv w:val="1"/>
      <w:marLeft w:val="0"/>
      <w:marRight w:val="0"/>
      <w:marTop w:val="0"/>
      <w:marBottom w:val="0"/>
      <w:divBdr>
        <w:top w:val="none" w:sz="0" w:space="0" w:color="auto"/>
        <w:left w:val="none" w:sz="0" w:space="0" w:color="auto"/>
        <w:bottom w:val="none" w:sz="0" w:space="0" w:color="auto"/>
        <w:right w:val="none" w:sz="0" w:space="0" w:color="auto"/>
      </w:divBdr>
    </w:div>
    <w:div w:id="1155758024">
      <w:bodyDiv w:val="1"/>
      <w:marLeft w:val="0"/>
      <w:marRight w:val="0"/>
      <w:marTop w:val="0"/>
      <w:marBottom w:val="0"/>
      <w:divBdr>
        <w:top w:val="none" w:sz="0" w:space="0" w:color="auto"/>
        <w:left w:val="none" w:sz="0" w:space="0" w:color="auto"/>
        <w:bottom w:val="none" w:sz="0" w:space="0" w:color="auto"/>
        <w:right w:val="none" w:sz="0" w:space="0" w:color="auto"/>
      </w:divBdr>
    </w:div>
    <w:div w:id="1160609678">
      <w:bodyDiv w:val="1"/>
      <w:marLeft w:val="0"/>
      <w:marRight w:val="0"/>
      <w:marTop w:val="0"/>
      <w:marBottom w:val="0"/>
      <w:divBdr>
        <w:top w:val="none" w:sz="0" w:space="0" w:color="auto"/>
        <w:left w:val="none" w:sz="0" w:space="0" w:color="auto"/>
        <w:bottom w:val="none" w:sz="0" w:space="0" w:color="auto"/>
        <w:right w:val="none" w:sz="0" w:space="0" w:color="auto"/>
      </w:divBdr>
    </w:div>
    <w:div w:id="1183128690">
      <w:bodyDiv w:val="1"/>
      <w:marLeft w:val="0"/>
      <w:marRight w:val="0"/>
      <w:marTop w:val="0"/>
      <w:marBottom w:val="0"/>
      <w:divBdr>
        <w:top w:val="none" w:sz="0" w:space="0" w:color="auto"/>
        <w:left w:val="none" w:sz="0" w:space="0" w:color="auto"/>
        <w:bottom w:val="none" w:sz="0" w:space="0" w:color="auto"/>
        <w:right w:val="none" w:sz="0" w:space="0" w:color="auto"/>
      </w:divBdr>
    </w:div>
    <w:div w:id="1185512124">
      <w:bodyDiv w:val="1"/>
      <w:marLeft w:val="0"/>
      <w:marRight w:val="0"/>
      <w:marTop w:val="0"/>
      <w:marBottom w:val="0"/>
      <w:divBdr>
        <w:top w:val="none" w:sz="0" w:space="0" w:color="auto"/>
        <w:left w:val="none" w:sz="0" w:space="0" w:color="auto"/>
        <w:bottom w:val="none" w:sz="0" w:space="0" w:color="auto"/>
        <w:right w:val="none" w:sz="0" w:space="0" w:color="auto"/>
      </w:divBdr>
    </w:div>
    <w:div w:id="1224371257">
      <w:bodyDiv w:val="1"/>
      <w:marLeft w:val="0"/>
      <w:marRight w:val="0"/>
      <w:marTop w:val="0"/>
      <w:marBottom w:val="0"/>
      <w:divBdr>
        <w:top w:val="none" w:sz="0" w:space="0" w:color="auto"/>
        <w:left w:val="none" w:sz="0" w:space="0" w:color="auto"/>
        <w:bottom w:val="none" w:sz="0" w:space="0" w:color="auto"/>
        <w:right w:val="none" w:sz="0" w:space="0" w:color="auto"/>
      </w:divBdr>
    </w:div>
    <w:div w:id="1246960759">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7">
          <w:marLeft w:val="446"/>
          <w:marRight w:val="533"/>
          <w:marTop w:val="0"/>
          <w:marBottom w:val="0"/>
          <w:divBdr>
            <w:top w:val="none" w:sz="0" w:space="0" w:color="auto"/>
            <w:left w:val="none" w:sz="0" w:space="0" w:color="auto"/>
            <w:bottom w:val="none" w:sz="0" w:space="0" w:color="auto"/>
            <w:right w:val="none" w:sz="0" w:space="0" w:color="auto"/>
          </w:divBdr>
        </w:div>
        <w:div w:id="88043203">
          <w:marLeft w:val="446"/>
          <w:marRight w:val="0"/>
          <w:marTop w:val="0"/>
          <w:marBottom w:val="0"/>
          <w:divBdr>
            <w:top w:val="none" w:sz="0" w:space="0" w:color="auto"/>
            <w:left w:val="none" w:sz="0" w:space="0" w:color="auto"/>
            <w:bottom w:val="none" w:sz="0" w:space="0" w:color="auto"/>
            <w:right w:val="none" w:sz="0" w:space="0" w:color="auto"/>
          </w:divBdr>
        </w:div>
        <w:div w:id="1399210624">
          <w:marLeft w:val="446"/>
          <w:marRight w:val="302"/>
          <w:marTop w:val="1"/>
          <w:marBottom w:val="0"/>
          <w:divBdr>
            <w:top w:val="none" w:sz="0" w:space="0" w:color="auto"/>
            <w:left w:val="none" w:sz="0" w:space="0" w:color="auto"/>
            <w:bottom w:val="none" w:sz="0" w:space="0" w:color="auto"/>
            <w:right w:val="none" w:sz="0" w:space="0" w:color="auto"/>
          </w:divBdr>
        </w:div>
        <w:div w:id="582229015">
          <w:marLeft w:val="446"/>
          <w:marRight w:val="806"/>
          <w:marTop w:val="0"/>
          <w:marBottom w:val="0"/>
          <w:divBdr>
            <w:top w:val="none" w:sz="0" w:space="0" w:color="auto"/>
            <w:left w:val="none" w:sz="0" w:space="0" w:color="auto"/>
            <w:bottom w:val="none" w:sz="0" w:space="0" w:color="auto"/>
            <w:right w:val="none" w:sz="0" w:space="0" w:color="auto"/>
          </w:divBdr>
        </w:div>
        <w:div w:id="923294695">
          <w:marLeft w:val="446"/>
          <w:marRight w:val="0"/>
          <w:marTop w:val="0"/>
          <w:marBottom w:val="0"/>
          <w:divBdr>
            <w:top w:val="none" w:sz="0" w:space="0" w:color="auto"/>
            <w:left w:val="none" w:sz="0" w:space="0" w:color="auto"/>
            <w:bottom w:val="none" w:sz="0" w:space="0" w:color="auto"/>
            <w:right w:val="none" w:sz="0" w:space="0" w:color="auto"/>
          </w:divBdr>
        </w:div>
        <w:div w:id="364216287">
          <w:marLeft w:val="446"/>
          <w:marRight w:val="0"/>
          <w:marTop w:val="1"/>
          <w:marBottom w:val="0"/>
          <w:divBdr>
            <w:top w:val="none" w:sz="0" w:space="0" w:color="auto"/>
            <w:left w:val="none" w:sz="0" w:space="0" w:color="auto"/>
            <w:bottom w:val="none" w:sz="0" w:space="0" w:color="auto"/>
            <w:right w:val="none" w:sz="0" w:space="0" w:color="auto"/>
          </w:divBdr>
        </w:div>
        <w:div w:id="301737384">
          <w:marLeft w:val="446"/>
          <w:marRight w:val="0"/>
          <w:marTop w:val="0"/>
          <w:marBottom w:val="0"/>
          <w:divBdr>
            <w:top w:val="none" w:sz="0" w:space="0" w:color="auto"/>
            <w:left w:val="none" w:sz="0" w:space="0" w:color="auto"/>
            <w:bottom w:val="none" w:sz="0" w:space="0" w:color="auto"/>
            <w:right w:val="none" w:sz="0" w:space="0" w:color="auto"/>
          </w:divBdr>
        </w:div>
        <w:div w:id="673068546">
          <w:marLeft w:val="446"/>
          <w:marRight w:val="0"/>
          <w:marTop w:val="0"/>
          <w:marBottom w:val="0"/>
          <w:divBdr>
            <w:top w:val="none" w:sz="0" w:space="0" w:color="auto"/>
            <w:left w:val="none" w:sz="0" w:space="0" w:color="auto"/>
            <w:bottom w:val="none" w:sz="0" w:space="0" w:color="auto"/>
            <w:right w:val="none" w:sz="0" w:space="0" w:color="auto"/>
          </w:divBdr>
        </w:div>
        <w:div w:id="358892372">
          <w:marLeft w:val="446"/>
          <w:marRight w:val="173"/>
          <w:marTop w:val="0"/>
          <w:marBottom w:val="0"/>
          <w:divBdr>
            <w:top w:val="none" w:sz="0" w:space="0" w:color="auto"/>
            <w:left w:val="none" w:sz="0" w:space="0" w:color="auto"/>
            <w:bottom w:val="none" w:sz="0" w:space="0" w:color="auto"/>
            <w:right w:val="none" w:sz="0" w:space="0" w:color="auto"/>
          </w:divBdr>
        </w:div>
        <w:div w:id="1784954724">
          <w:marLeft w:val="446"/>
          <w:marRight w:val="821"/>
          <w:marTop w:val="0"/>
          <w:marBottom w:val="0"/>
          <w:divBdr>
            <w:top w:val="none" w:sz="0" w:space="0" w:color="auto"/>
            <w:left w:val="none" w:sz="0" w:space="0" w:color="auto"/>
            <w:bottom w:val="none" w:sz="0" w:space="0" w:color="auto"/>
            <w:right w:val="none" w:sz="0" w:space="0" w:color="auto"/>
          </w:divBdr>
        </w:div>
        <w:div w:id="781269953">
          <w:marLeft w:val="446"/>
          <w:marRight w:val="0"/>
          <w:marTop w:val="0"/>
          <w:marBottom w:val="0"/>
          <w:divBdr>
            <w:top w:val="none" w:sz="0" w:space="0" w:color="auto"/>
            <w:left w:val="none" w:sz="0" w:space="0" w:color="auto"/>
            <w:bottom w:val="none" w:sz="0" w:space="0" w:color="auto"/>
            <w:right w:val="none" w:sz="0" w:space="0" w:color="auto"/>
          </w:divBdr>
        </w:div>
        <w:div w:id="1307474618">
          <w:marLeft w:val="446"/>
          <w:marRight w:val="14"/>
          <w:marTop w:val="0"/>
          <w:marBottom w:val="0"/>
          <w:divBdr>
            <w:top w:val="none" w:sz="0" w:space="0" w:color="auto"/>
            <w:left w:val="none" w:sz="0" w:space="0" w:color="auto"/>
            <w:bottom w:val="none" w:sz="0" w:space="0" w:color="auto"/>
            <w:right w:val="none" w:sz="0" w:space="0" w:color="auto"/>
          </w:divBdr>
        </w:div>
        <w:div w:id="1365059471">
          <w:marLeft w:val="446"/>
          <w:marRight w:val="0"/>
          <w:marTop w:val="0"/>
          <w:marBottom w:val="0"/>
          <w:divBdr>
            <w:top w:val="none" w:sz="0" w:space="0" w:color="auto"/>
            <w:left w:val="none" w:sz="0" w:space="0" w:color="auto"/>
            <w:bottom w:val="none" w:sz="0" w:space="0" w:color="auto"/>
            <w:right w:val="none" w:sz="0" w:space="0" w:color="auto"/>
          </w:divBdr>
        </w:div>
        <w:div w:id="2071806469">
          <w:marLeft w:val="446"/>
          <w:marRight w:val="0"/>
          <w:marTop w:val="0"/>
          <w:marBottom w:val="0"/>
          <w:divBdr>
            <w:top w:val="none" w:sz="0" w:space="0" w:color="auto"/>
            <w:left w:val="none" w:sz="0" w:space="0" w:color="auto"/>
            <w:bottom w:val="none" w:sz="0" w:space="0" w:color="auto"/>
            <w:right w:val="none" w:sz="0" w:space="0" w:color="auto"/>
          </w:divBdr>
        </w:div>
      </w:divsChild>
    </w:div>
    <w:div w:id="1250693017">
      <w:bodyDiv w:val="1"/>
      <w:marLeft w:val="0"/>
      <w:marRight w:val="0"/>
      <w:marTop w:val="0"/>
      <w:marBottom w:val="0"/>
      <w:divBdr>
        <w:top w:val="none" w:sz="0" w:space="0" w:color="auto"/>
        <w:left w:val="none" w:sz="0" w:space="0" w:color="auto"/>
        <w:bottom w:val="none" w:sz="0" w:space="0" w:color="auto"/>
        <w:right w:val="none" w:sz="0" w:space="0" w:color="auto"/>
      </w:divBdr>
    </w:div>
    <w:div w:id="1264655326">
      <w:bodyDiv w:val="1"/>
      <w:marLeft w:val="0"/>
      <w:marRight w:val="0"/>
      <w:marTop w:val="0"/>
      <w:marBottom w:val="0"/>
      <w:divBdr>
        <w:top w:val="none" w:sz="0" w:space="0" w:color="auto"/>
        <w:left w:val="none" w:sz="0" w:space="0" w:color="auto"/>
        <w:bottom w:val="none" w:sz="0" w:space="0" w:color="auto"/>
        <w:right w:val="none" w:sz="0" w:space="0" w:color="auto"/>
      </w:divBdr>
    </w:div>
    <w:div w:id="1277525254">
      <w:bodyDiv w:val="1"/>
      <w:marLeft w:val="0"/>
      <w:marRight w:val="0"/>
      <w:marTop w:val="0"/>
      <w:marBottom w:val="0"/>
      <w:divBdr>
        <w:top w:val="none" w:sz="0" w:space="0" w:color="auto"/>
        <w:left w:val="none" w:sz="0" w:space="0" w:color="auto"/>
        <w:bottom w:val="none" w:sz="0" w:space="0" w:color="auto"/>
        <w:right w:val="none" w:sz="0" w:space="0" w:color="auto"/>
      </w:divBdr>
    </w:div>
    <w:div w:id="1294140084">
      <w:bodyDiv w:val="1"/>
      <w:marLeft w:val="0"/>
      <w:marRight w:val="0"/>
      <w:marTop w:val="0"/>
      <w:marBottom w:val="0"/>
      <w:divBdr>
        <w:top w:val="none" w:sz="0" w:space="0" w:color="auto"/>
        <w:left w:val="none" w:sz="0" w:space="0" w:color="auto"/>
        <w:bottom w:val="none" w:sz="0" w:space="0" w:color="auto"/>
        <w:right w:val="none" w:sz="0" w:space="0" w:color="auto"/>
      </w:divBdr>
    </w:div>
    <w:div w:id="1327323410">
      <w:bodyDiv w:val="1"/>
      <w:marLeft w:val="0"/>
      <w:marRight w:val="0"/>
      <w:marTop w:val="0"/>
      <w:marBottom w:val="0"/>
      <w:divBdr>
        <w:top w:val="none" w:sz="0" w:space="0" w:color="auto"/>
        <w:left w:val="none" w:sz="0" w:space="0" w:color="auto"/>
        <w:bottom w:val="none" w:sz="0" w:space="0" w:color="auto"/>
        <w:right w:val="none" w:sz="0" w:space="0" w:color="auto"/>
      </w:divBdr>
    </w:div>
    <w:div w:id="1329749086">
      <w:bodyDiv w:val="1"/>
      <w:marLeft w:val="0"/>
      <w:marRight w:val="0"/>
      <w:marTop w:val="0"/>
      <w:marBottom w:val="0"/>
      <w:divBdr>
        <w:top w:val="none" w:sz="0" w:space="0" w:color="auto"/>
        <w:left w:val="none" w:sz="0" w:space="0" w:color="auto"/>
        <w:bottom w:val="none" w:sz="0" w:space="0" w:color="auto"/>
        <w:right w:val="none" w:sz="0" w:space="0" w:color="auto"/>
      </w:divBdr>
    </w:div>
    <w:div w:id="1329795966">
      <w:bodyDiv w:val="1"/>
      <w:marLeft w:val="0"/>
      <w:marRight w:val="0"/>
      <w:marTop w:val="0"/>
      <w:marBottom w:val="0"/>
      <w:divBdr>
        <w:top w:val="none" w:sz="0" w:space="0" w:color="auto"/>
        <w:left w:val="none" w:sz="0" w:space="0" w:color="auto"/>
        <w:bottom w:val="none" w:sz="0" w:space="0" w:color="auto"/>
        <w:right w:val="none" w:sz="0" w:space="0" w:color="auto"/>
      </w:divBdr>
    </w:div>
    <w:div w:id="1335495274">
      <w:bodyDiv w:val="1"/>
      <w:marLeft w:val="0"/>
      <w:marRight w:val="0"/>
      <w:marTop w:val="0"/>
      <w:marBottom w:val="0"/>
      <w:divBdr>
        <w:top w:val="none" w:sz="0" w:space="0" w:color="auto"/>
        <w:left w:val="none" w:sz="0" w:space="0" w:color="auto"/>
        <w:bottom w:val="none" w:sz="0" w:space="0" w:color="auto"/>
        <w:right w:val="none" w:sz="0" w:space="0" w:color="auto"/>
      </w:divBdr>
    </w:div>
    <w:div w:id="1342927013">
      <w:bodyDiv w:val="1"/>
      <w:marLeft w:val="0"/>
      <w:marRight w:val="0"/>
      <w:marTop w:val="0"/>
      <w:marBottom w:val="0"/>
      <w:divBdr>
        <w:top w:val="none" w:sz="0" w:space="0" w:color="auto"/>
        <w:left w:val="none" w:sz="0" w:space="0" w:color="auto"/>
        <w:bottom w:val="none" w:sz="0" w:space="0" w:color="auto"/>
        <w:right w:val="none" w:sz="0" w:space="0" w:color="auto"/>
      </w:divBdr>
    </w:div>
    <w:div w:id="1436051437">
      <w:bodyDiv w:val="1"/>
      <w:marLeft w:val="0"/>
      <w:marRight w:val="0"/>
      <w:marTop w:val="0"/>
      <w:marBottom w:val="0"/>
      <w:divBdr>
        <w:top w:val="none" w:sz="0" w:space="0" w:color="auto"/>
        <w:left w:val="none" w:sz="0" w:space="0" w:color="auto"/>
        <w:bottom w:val="none" w:sz="0" w:space="0" w:color="auto"/>
        <w:right w:val="none" w:sz="0" w:space="0" w:color="auto"/>
      </w:divBdr>
      <w:divsChild>
        <w:div w:id="952633850">
          <w:marLeft w:val="547"/>
          <w:marRight w:val="0"/>
          <w:marTop w:val="120"/>
          <w:marBottom w:val="0"/>
          <w:divBdr>
            <w:top w:val="none" w:sz="0" w:space="0" w:color="auto"/>
            <w:left w:val="none" w:sz="0" w:space="0" w:color="auto"/>
            <w:bottom w:val="none" w:sz="0" w:space="0" w:color="auto"/>
            <w:right w:val="none" w:sz="0" w:space="0" w:color="auto"/>
          </w:divBdr>
        </w:div>
        <w:div w:id="2016879382">
          <w:marLeft w:val="547"/>
          <w:marRight w:val="0"/>
          <w:marTop w:val="120"/>
          <w:marBottom w:val="0"/>
          <w:divBdr>
            <w:top w:val="none" w:sz="0" w:space="0" w:color="auto"/>
            <w:left w:val="none" w:sz="0" w:space="0" w:color="auto"/>
            <w:bottom w:val="none" w:sz="0" w:space="0" w:color="auto"/>
            <w:right w:val="none" w:sz="0" w:space="0" w:color="auto"/>
          </w:divBdr>
        </w:div>
        <w:div w:id="791289184">
          <w:marLeft w:val="547"/>
          <w:marRight w:val="0"/>
          <w:marTop w:val="120"/>
          <w:marBottom w:val="0"/>
          <w:divBdr>
            <w:top w:val="none" w:sz="0" w:space="0" w:color="auto"/>
            <w:left w:val="none" w:sz="0" w:space="0" w:color="auto"/>
            <w:bottom w:val="none" w:sz="0" w:space="0" w:color="auto"/>
            <w:right w:val="none" w:sz="0" w:space="0" w:color="auto"/>
          </w:divBdr>
        </w:div>
        <w:div w:id="764114437">
          <w:marLeft w:val="547"/>
          <w:marRight w:val="0"/>
          <w:marTop w:val="120"/>
          <w:marBottom w:val="0"/>
          <w:divBdr>
            <w:top w:val="none" w:sz="0" w:space="0" w:color="auto"/>
            <w:left w:val="none" w:sz="0" w:space="0" w:color="auto"/>
            <w:bottom w:val="none" w:sz="0" w:space="0" w:color="auto"/>
            <w:right w:val="none" w:sz="0" w:space="0" w:color="auto"/>
          </w:divBdr>
        </w:div>
        <w:div w:id="395514706">
          <w:marLeft w:val="547"/>
          <w:marRight w:val="0"/>
          <w:marTop w:val="120"/>
          <w:marBottom w:val="0"/>
          <w:divBdr>
            <w:top w:val="none" w:sz="0" w:space="0" w:color="auto"/>
            <w:left w:val="none" w:sz="0" w:space="0" w:color="auto"/>
            <w:bottom w:val="none" w:sz="0" w:space="0" w:color="auto"/>
            <w:right w:val="none" w:sz="0" w:space="0" w:color="auto"/>
          </w:divBdr>
        </w:div>
        <w:div w:id="1010063332">
          <w:marLeft w:val="547"/>
          <w:marRight w:val="0"/>
          <w:marTop w:val="120"/>
          <w:marBottom w:val="0"/>
          <w:divBdr>
            <w:top w:val="none" w:sz="0" w:space="0" w:color="auto"/>
            <w:left w:val="none" w:sz="0" w:space="0" w:color="auto"/>
            <w:bottom w:val="none" w:sz="0" w:space="0" w:color="auto"/>
            <w:right w:val="none" w:sz="0" w:space="0" w:color="auto"/>
          </w:divBdr>
        </w:div>
        <w:div w:id="2038382425">
          <w:marLeft w:val="547"/>
          <w:marRight w:val="0"/>
          <w:marTop w:val="120"/>
          <w:marBottom w:val="0"/>
          <w:divBdr>
            <w:top w:val="none" w:sz="0" w:space="0" w:color="auto"/>
            <w:left w:val="none" w:sz="0" w:space="0" w:color="auto"/>
            <w:bottom w:val="none" w:sz="0" w:space="0" w:color="auto"/>
            <w:right w:val="none" w:sz="0" w:space="0" w:color="auto"/>
          </w:divBdr>
        </w:div>
      </w:divsChild>
    </w:div>
    <w:div w:id="1469781617">
      <w:bodyDiv w:val="1"/>
      <w:marLeft w:val="0"/>
      <w:marRight w:val="0"/>
      <w:marTop w:val="0"/>
      <w:marBottom w:val="0"/>
      <w:divBdr>
        <w:top w:val="none" w:sz="0" w:space="0" w:color="auto"/>
        <w:left w:val="none" w:sz="0" w:space="0" w:color="auto"/>
        <w:bottom w:val="none" w:sz="0" w:space="0" w:color="auto"/>
        <w:right w:val="none" w:sz="0" w:space="0" w:color="auto"/>
      </w:divBdr>
    </w:div>
    <w:div w:id="1511135904">
      <w:bodyDiv w:val="1"/>
      <w:marLeft w:val="0"/>
      <w:marRight w:val="0"/>
      <w:marTop w:val="0"/>
      <w:marBottom w:val="0"/>
      <w:divBdr>
        <w:top w:val="none" w:sz="0" w:space="0" w:color="auto"/>
        <w:left w:val="none" w:sz="0" w:space="0" w:color="auto"/>
        <w:bottom w:val="none" w:sz="0" w:space="0" w:color="auto"/>
        <w:right w:val="none" w:sz="0" w:space="0" w:color="auto"/>
      </w:divBdr>
    </w:div>
    <w:div w:id="1553341983">
      <w:bodyDiv w:val="1"/>
      <w:marLeft w:val="0"/>
      <w:marRight w:val="0"/>
      <w:marTop w:val="0"/>
      <w:marBottom w:val="0"/>
      <w:divBdr>
        <w:top w:val="none" w:sz="0" w:space="0" w:color="auto"/>
        <w:left w:val="none" w:sz="0" w:space="0" w:color="auto"/>
        <w:bottom w:val="none" w:sz="0" w:space="0" w:color="auto"/>
        <w:right w:val="none" w:sz="0" w:space="0" w:color="auto"/>
      </w:divBdr>
      <w:divsChild>
        <w:div w:id="1342585525">
          <w:marLeft w:val="288"/>
          <w:marRight w:val="14"/>
          <w:marTop w:val="0"/>
          <w:marBottom w:val="0"/>
          <w:divBdr>
            <w:top w:val="none" w:sz="0" w:space="0" w:color="auto"/>
            <w:left w:val="none" w:sz="0" w:space="0" w:color="auto"/>
            <w:bottom w:val="none" w:sz="0" w:space="0" w:color="auto"/>
            <w:right w:val="none" w:sz="0" w:space="0" w:color="auto"/>
          </w:divBdr>
        </w:div>
        <w:div w:id="124198612">
          <w:marLeft w:val="288"/>
          <w:marRight w:val="0"/>
          <w:marTop w:val="0"/>
          <w:marBottom w:val="0"/>
          <w:divBdr>
            <w:top w:val="none" w:sz="0" w:space="0" w:color="auto"/>
            <w:left w:val="none" w:sz="0" w:space="0" w:color="auto"/>
            <w:bottom w:val="none" w:sz="0" w:space="0" w:color="auto"/>
            <w:right w:val="none" w:sz="0" w:space="0" w:color="auto"/>
          </w:divBdr>
        </w:div>
        <w:div w:id="673724370">
          <w:marLeft w:val="288"/>
          <w:marRight w:val="0"/>
          <w:marTop w:val="0"/>
          <w:marBottom w:val="0"/>
          <w:divBdr>
            <w:top w:val="none" w:sz="0" w:space="0" w:color="auto"/>
            <w:left w:val="none" w:sz="0" w:space="0" w:color="auto"/>
            <w:bottom w:val="none" w:sz="0" w:space="0" w:color="auto"/>
            <w:right w:val="none" w:sz="0" w:space="0" w:color="auto"/>
          </w:divBdr>
        </w:div>
        <w:div w:id="1121730641">
          <w:marLeft w:val="288"/>
          <w:marRight w:val="0"/>
          <w:marTop w:val="1"/>
          <w:marBottom w:val="0"/>
          <w:divBdr>
            <w:top w:val="none" w:sz="0" w:space="0" w:color="auto"/>
            <w:left w:val="none" w:sz="0" w:space="0" w:color="auto"/>
            <w:bottom w:val="none" w:sz="0" w:space="0" w:color="auto"/>
            <w:right w:val="none" w:sz="0" w:space="0" w:color="auto"/>
          </w:divBdr>
        </w:div>
        <w:div w:id="1871524923">
          <w:marLeft w:val="288"/>
          <w:marRight w:val="0"/>
          <w:marTop w:val="0"/>
          <w:marBottom w:val="0"/>
          <w:divBdr>
            <w:top w:val="none" w:sz="0" w:space="0" w:color="auto"/>
            <w:left w:val="none" w:sz="0" w:space="0" w:color="auto"/>
            <w:bottom w:val="none" w:sz="0" w:space="0" w:color="auto"/>
            <w:right w:val="none" w:sz="0" w:space="0" w:color="auto"/>
          </w:divBdr>
        </w:div>
        <w:div w:id="849487773">
          <w:marLeft w:val="288"/>
          <w:marRight w:val="648"/>
          <w:marTop w:val="0"/>
          <w:marBottom w:val="0"/>
          <w:divBdr>
            <w:top w:val="none" w:sz="0" w:space="0" w:color="auto"/>
            <w:left w:val="none" w:sz="0" w:space="0" w:color="auto"/>
            <w:bottom w:val="none" w:sz="0" w:space="0" w:color="auto"/>
            <w:right w:val="none" w:sz="0" w:space="0" w:color="auto"/>
          </w:divBdr>
        </w:div>
        <w:div w:id="487789868">
          <w:marLeft w:val="288"/>
          <w:marRight w:val="317"/>
          <w:marTop w:val="0"/>
          <w:marBottom w:val="0"/>
          <w:divBdr>
            <w:top w:val="none" w:sz="0" w:space="0" w:color="auto"/>
            <w:left w:val="none" w:sz="0" w:space="0" w:color="auto"/>
            <w:bottom w:val="none" w:sz="0" w:space="0" w:color="auto"/>
            <w:right w:val="none" w:sz="0" w:space="0" w:color="auto"/>
          </w:divBdr>
        </w:div>
        <w:div w:id="1817794630">
          <w:marLeft w:val="288"/>
          <w:marRight w:val="763"/>
          <w:marTop w:val="1"/>
          <w:marBottom w:val="0"/>
          <w:divBdr>
            <w:top w:val="none" w:sz="0" w:space="0" w:color="auto"/>
            <w:left w:val="none" w:sz="0" w:space="0" w:color="auto"/>
            <w:bottom w:val="none" w:sz="0" w:space="0" w:color="auto"/>
            <w:right w:val="none" w:sz="0" w:space="0" w:color="auto"/>
          </w:divBdr>
        </w:div>
        <w:div w:id="1724056095">
          <w:marLeft w:val="288"/>
          <w:marRight w:val="0"/>
          <w:marTop w:val="0"/>
          <w:marBottom w:val="0"/>
          <w:divBdr>
            <w:top w:val="none" w:sz="0" w:space="0" w:color="auto"/>
            <w:left w:val="none" w:sz="0" w:space="0" w:color="auto"/>
            <w:bottom w:val="none" w:sz="0" w:space="0" w:color="auto"/>
            <w:right w:val="none" w:sz="0" w:space="0" w:color="auto"/>
          </w:divBdr>
        </w:div>
        <w:div w:id="505249236">
          <w:marLeft w:val="288"/>
          <w:marRight w:val="0"/>
          <w:marTop w:val="0"/>
          <w:marBottom w:val="0"/>
          <w:divBdr>
            <w:top w:val="none" w:sz="0" w:space="0" w:color="auto"/>
            <w:left w:val="none" w:sz="0" w:space="0" w:color="auto"/>
            <w:bottom w:val="none" w:sz="0" w:space="0" w:color="auto"/>
            <w:right w:val="none" w:sz="0" w:space="0" w:color="auto"/>
          </w:divBdr>
        </w:div>
      </w:divsChild>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87108193">
      <w:bodyDiv w:val="1"/>
      <w:marLeft w:val="0"/>
      <w:marRight w:val="0"/>
      <w:marTop w:val="0"/>
      <w:marBottom w:val="0"/>
      <w:divBdr>
        <w:top w:val="none" w:sz="0" w:space="0" w:color="auto"/>
        <w:left w:val="none" w:sz="0" w:space="0" w:color="auto"/>
        <w:bottom w:val="none" w:sz="0" w:space="0" w:color="auto"/>
        <w:right w:val="none" w:sz="0" w:space="0" w:color="auto"/>
      </w:divBdr>
      <w:divsChild>
        <w:div w:id="1176963418">
          <w:marLeft w:val="547"/>
          <w:marRight w:val="0"/>
          <w:marTop w:val="120"/>
          <w:marBottom w:val="0"/>
          <w:divBdr>
            <w:top w:val="none" w:sz="0" w:space="0" w:color="auto"/>
            <w:left w:val="none" w:sz="0" w:space="0" w:color="auto"/>
            <w:bottom w:val="none" w:sz="0" w:space="0" w:color="auto"/>
            <w:right w:val="none" w:sz="0" w:space="0" w:color="auto"/>
          </w:divBdr>
        </w:div>
        <w:div w:id="1910573499">
          <w:marLeft w:val="547"/>
          <w:marRight w:val="0"/>
          <w:marTop w:val="120"/>
          <w:marBottom w:val="0"/>
          <w:divBdr>
            <w:top w:val="none" w:sz="0" w:space="0" w:color="auto"/>
            <w:left w:val="none" w:sz="0" w:space="0" w:color="auto"/>
            <w:bottom w:val="none" w:sz="0" w:space="0" w:color="auto"/>
            <w:right w:val="none" w:sz="0" w:space="0" w:color="auto"/>
          </w:divBdr>
        </w:div>
        <w:div w:id="2098138719">
          <w:marLeft w:val="547"/>
          <w:marRight w:val="0"/>
          <w:marTop w:val="120"/>
          <w:marBottom w:val="0"/>
          <w:divBdr>
            <w:top w:val="none" w:sz="0" w:space="0" w:color="auto"/>
            <w:left w:val="none" w:sz="0" w:space="0" w:color="auto"/>
            <w:bottom w:val="none" w:sz="0" w:space="0" w:color="auto"/>
            <w:right w:val="none" w:sz="0" w:space="0" w:color="auto"/>
          </w:divBdr>
        </w:div>
        <w:div w:id="238684179">
          <w:marLeft w:val="547"/>
          <w:marRight w:val="0"/>
          <w:marTop w:val="120"/>
          <w:marBottom w:val="0"/>
          <w:divBdr>
            <w:top w:val="none" w:sz="0" w:space="0" w:color="auto"/>
            <w:left w:val="none" w:sz="0" w:space="0" w:color="auto"/>
            <w:bottom w:val="none" w:sz="0" w:space="0" w:color="auto"/>
            <w:right w:val="none" w:sz="0" w:space="0" w:color="auto"/>
          </w:divBdr>
        </w:div>
        <w:div w:id="741679466">
          <w:marLeft w:val="1123"/>
          <w:marRight w:val="0"/>
          <w:marTop w:val="120"/>
          <w:marBottom w:val="0"/>
          <w:divBdr>
            <w:top w:val="none" w:sz="0" w:space="0" w:color="auto"/>
            <w:left w:val="none" w:sz="0" w:space="0" w:color="auto"/>
            <w:bottom w:val="none" w:sz="0" w:space="0" w:color="auto"/>
            <w:right w:val="none" w:sz="0" w:space="0" w:color="auto"/>
          </w:divBdr>
        </w:div>
        <w:div w:id="577710508">
          <w:marLeft w:val="1123"/>
          <w:marRight w:val="0"/>
          <w:marTop w:val="120"/>
          <w:marBottom w:val="0"/>
          <w:divBdr>
            <w:top w:val="none" w:sz="0" w:space="0" w:color="auto"/>
            <w:left w:val="none" w:sz="0" w:space="0" w:color="auto"/>
            <w:bottom w:val="none" w:sz="0" w:space="0" w:color="auto"/>
            <w:right w:val="none" w:sz="0" w:space="0" w:color="auto"/>
          </w:divBdr>
        </w:div>
        <w:div w:id="1540315457">
          <w:marLeft w:val="1123"/>
          <w:marRight w:val="0"/>
          <w:marTop w:val="120"/>
          <w:marBottom w:val="0"/>
          <w:divBdr>
            <w:top w:val="none" w:sz="0" w:space="0" w:color="auto"/>
            <w:left w:val="none" w:sz="0" w:space="0" w:color="auto"/>
            <w:bottom w:val="none" w:sz="0" w:space="0" w:color="auto"/>
            <w:right w:val="none" w:sz="0" w:space="0" w:color="auto"/>
          </w:divBdr>
        </w:div>
        <w:div w:id="36128328">
          <w:marLeft w:val="1123"/>
          <w:marRight w:val="0"/>
          <w:marTop w:val="120"/>
          <w:marBottom w:val="0"/>
          <w:divBdr>
            <w:top w:val="none" w:sz="0" w:space="0" w:color="auto"/>
            <w:left w:val="none" w:sz="0" w:space="0" w:color="auto"/>
            <w:bottom w:val="none" w:sz="0" w:space="0" w:color="auto"/>
            <w:right w:val="none" w:sz="0" w:space="0" w:color="auto"/>
          </w:divBdr>
        </w:div>
      </w:divsChild>
    </w:div>
    <w:div w:id="1663578848">
      <w:bodyDiv w:val="1"/>
      <w:marLeft w:val="0"/>
      <w:marRight w:val="0"/>
      <w:marTop w:val="0"/>
      <w:marBottom w:val="0"/>
      <w:divBdr>
        <w:top w:val="none" w:sz="0" w:space="0" w:color="auto"/>
        <w:left w:val="none" w:sz="0" w:space="0" w:color="auto"/>
        <w:bottom w:val="none" w:sz="0" w:space="0" w:color="auto"/>
        <w:right w:val="none" w:sz="0" w:space="0" w:color="auto"/>
      </w:divBdr>
      <w:divsChild>
        <w:div w:id="159124470">
          <w:marLeft w:val="562"/>
          <w:marRight w:val="0"/>
          <w:marTop w:val="120"/>
          <w:marBottom w:val="0"/>
          <w:divBdr>
            <w:top w:val="none" w:sz="0" w:space="0" w:color="auto"/>
            <w:left w:val="none" w:sz="0" w:space="0" w:color="auto"/>
            <w:bottom w:val="none" w:sz="0" w:space="0" w:color="auto"/>
            <w:right w:val="none" w:sz="0" w:space="0" w:color="auto"/>
          </w:divBdr>
        </w:div>
        <w:div w:id="1931115850">
          <w:marLeft w:val="562"/>
          <w:marRight w:val="0"/>
          <w:marTop w:val="120"/>
          <w:marBottom w:val="0"/>
          <w:divBdr>
            <w:top w:val="none" w:sz="0" w:space="0" w:color="auto"/>
            <w:left w:val="none" w:sz="0" w:space="0" w:color="auto"/>
            <w:bottom w:val="none" w:sz="0" w:space="0" w:color="auto"/>
            <w:right w:val="none" w:sz="0" w:space="0" w:color="auto"/>
          </w:divBdr>
        </w:div>
        <w:div w:id="2035840654">
          <w:marLeft w:val="562"/>
          <w:marRight w:val="0"/>
          <w:marTop w:val="120"/>
          <w:marBottom w:val="0"/>
          <w:divBdr>
            <w:top w:val="none" w:sz="0" w:space="0" w:color="auto"/>
            <w:left w:val="none" w:sz="0" w:space="0" w:color="auto"/>
            <w:bottom w:val="none" w:sz="0" w:space="0" w:color="auto"/>
            <w:right w:val="none" w:sz="0" w:space="0" w:color="auto"/>
          </w:divBdr>
        </w:div>
        <w:div w:id="1054306323">
          <w:marLeft w:val="562"/>
          <w:marRight w:val="0"/>
          <w:marTop w:val="120"/>
          <w:marBottom w:val="0"/>
          <w:divBdr>
            <w:top w:val="none" w:sz="0" w:space="0" w:color="auto"/>
            <w:left w:val="none" w:sz="0" w:space="0" w:color="auto"/>
            <w:bottom w:val="none" w:sz="0" w:space="0" w:color="auto"/>
            <w:right w:val="none" w:sz="0" w:space="0" w:color="auto"/>
          </w:divBdr>
        </w:div>
        <w:div w:id="841353456">
          <w:marLeft w:val="562"/>
          <w:marRight w:val="0"/>
          <w:marTop w:val="120"/>
          <w:marBottom w:val="0"/>
          <w:divBdr>
            <w:top w:val="none" w:sz="0" w:space="0" w:color="auto"/>
            <w:left w:val="none" w:sz="0" w:space="0" w:color="auto"/>
            <w:bottom w:val="none" w:sz="0" w:space="0" w:color="auto"/>
            <w:right w:val="none" w:sz="0" w:space="0" w:color="auto"/>
          </w:divBdr>
        </w:div>
      </w:divsChild>
    </w:div>
    <w:div w:id="1682510157">
      <w:bodyDiv w:val="1"/>
      <w:marLeft w:val="0"/>
      <w:marRight w:val="0"/>
      <w:marTop w:val="0"/>
      <w:marBottom w:val="0"/>
      <w:divBdr>
        <w:top w:val="none" w:sz="0" w:space="0" w:color="auto"/>
        <w:left w:val="none" w:sz="0" w:space="0" w:color="auto"/>
        <w:bottom w:val="none" w:sz="0" w:space="0" w:color="auto"/>
        <w:right w:val="none" w:sz="0" w:space="0" w:color="auto"/>
      </w:divBdr>
    </w:div>
    <w:div w:id="1707023708">
      <w:bodyDiv w:val="1"/>
      <w:marLeft w:val="0"/>
      <w:marRight w:val="0"/>
      <w:marTop w:val="0"/>
      <w:marBottom w:val="0"/>
      <w:divBdr>
        <w:top w:val="none" w:sz="0" w:space="0" w:color="auto"/>
        <w:left w:val="none" w:sz="0" w:space="0" w:color="auto"/>
        <w:bottom w:val="none" w:sz="0" w:space="0" w:color="auto"/>
        <w:right w:val="none" w:sz="0" w:space="0" w:color="auto"/>
      </w:divBdr>
    </w:div>
    <w:div w:id="1727949847">
      <w:bodyDiv w:val="1"/>
      <w:marLeft w:val="0"/>
      <w:marRight w:val="0"/>
      <w:marTop w:val="0"/>
      <w:marBottom w:val="0"/>
      <w:divBdr>
        <w:top w:val="none" w:sz="0" w:space="0" w:color="auto"/>
        <w:left w:val="none" w:sz="0" w:space="0" w:color="auto"/>
        <w:bottom w:val="none" w:sz="0" w:space="0" w:color="auto"/>
        <w:right w:val="none" w:sz="0" w:space="0" w:color="auto"/>
      </w:divBdr>
    </w:div>
    <w:div w:id="1741446362">
      <w:bodyDiv w:val="1"/>
      <w:marLeft w:val="0"/>
      <w:marRight w:val="0"/>
      <w:marTop w:val="0"/>
      <w:marBottom w:val="0"/>
      <w:divBdr>
        <w:top w:val="none" w:sz="0" w:space="0" w:color="auto"/>
        <w:left w:val="none" w:sz="0" w:space="0" w:color="auto"/>
        <w:bottom w:val="none" w:sz="0" w:space="0" w:color="auto"/>
        <w:right w:val="none" w:sz="0" w:space="0" w:color="auto"/>
      </w:divBdr>
    </w:div>
    <w:div w:id="1747530067">
      <w:bodyDiv w:val="1"/>
      <w:marLeft w:val="0"/>
      <w:marRight w:val="0"/>
      <w:marTop w:val="0"/>
      <w:marBottom w:val="0"/>
      <w:divBdr>
        <w:top w:val="none" w:sz="0" w:space="0" w:color="auto"/>
        <w:left w:val="none" w:sz="0" w:space="0" w:color="auto"/>
        <w:bottom w:val="none" w:sz="0" w:space="0" w:color="auto"/>
        <w:right w:val="none" w:sz="0" w:space="0" w:color="auto"/>
      </w:divBdr>
    </w:div>
    <w:div w:id="1794518269">
      <w:bodyDiv w:val="1"/>
      <w:marLeft w:val="0"/>
      <w:marRight w:val="0"/>
      <w:marTop w:val="0"/>
      <w:marBottom w:val="0"/>
      <w:divBdr>
        <w:top w:val="none" w:sz="0" w:space="0" w:color="auto"/>
        <w:left w:val="none" w:sz="0" w:space="0" w:color="auto"/>
        <w:bottom w:val="none" w:sz="0" w:space="0" w:color="auto"/>
        <w:right w:val="none" w:sz="0" w:space="0" w:color="auto"/>
      </w:divBdr>
    </w:div>
    <w:div w:id="1817994379">
      <w:bodyDiv w:val="1"/>
      <w:marLeft w:val="0"/>
      <w:marRight w:val="0"/>
      <w:marTop w:val="0"/>
      <w:marBottom w:val="0"/>
      <w:divBdr>
        <w:top w:val="none" w:sz="0" w:space="0" w:color="auto"/>
        <w:left w:val="none" w:sz="0" w:space="0" w:color="auto"/>
        <w:bottom w:val="none" w:sz="0" w:space="0" w:color="auto"/>
        <w:right w:val="none" w:sz="0" w:space="0" w:color="auto"/>
      </w:divBdr>
    </w:div>
    <w:div w:id="1828664213">
      <w:bodyDiv w:val="1"/>
      <w:marLeft w:val="0"/>
      <w:marRight w:val="0"/>
      <w:marTop w:val="0"/>
      <w:marBottom w:val="0"/>
      <w:divBdr>
        <w:top w:val="none" w:sz="0" w:space="0" w:color="auto"/>
        <w:left w:val="none" w:sz="0" w:space="0" w:color="auto"/>
        <w:bottom w:val="none" w:sz="0" w:space="0" w:color="auto"/>
        <w:right w:val="none" w:sz="0" w:space="0" w:color="auto"/>
      </w:divBdr>
    </w:div>
    <w:div w:id="1878421405">
      <w:bodyDiv w:val="1"/>
      <w:marLeft w:val="0"/>
      <w:marRight w:val="0"/>
      <w:marTop w:val="0"/>
      <w:marBottom w:val="0"/>
      <w:divBdr>
        <w:top w:val="none" w:sz="0" w:space="0" w:color="auto"/>
        <w:left w:val="none" w:sz="0" w:space="0" w:color="auto"/>
        <w:bottom w:val="none" w:sz="0" w:space="0" w:color="auto"/>
        <w:right w:val="none" w:sz="0" w:space="0" w:color="auto"/>
      </w:divBdr>
    </w:div>
    <w:div w:id="2045597954">
      <w:bodyDiv w:val="1"/>
      <w:marLeft w:val="0"/>
      <w:marRight w:val="0"/>
      <w:marTop w:val="0"/>
      <w:marBottom w:val="0"/>
      <w:divBdr>
        <w:top w:val="none" w:sz="0" w:space="0" w:color="auto"/>
        <w:left w:val="none" w:sz="0" w:space="0" w:color="auto"/>
        <w:bottom w:val="none" w:sz="0" w:space="0" w:color="auto"/>
        <w:right w:val="none" w:sz="0" w:space="0" w:color="auto"/>
      </w:divBdr>
    </w:div>
    <w:div w:id="2052995147">
      <w:bodyDiv w:val="1"/>
      <w:marLeft w:val="0"/>
      <w:marRight w:val="0"/>
      <w:marTop w:val="0"/>
      <w:marBottom w:val="0"/>
      <w:divBdr>
        <w:top w:val="none" w:sz="0" w:space="0" w:color="auto"/>
        <w:left w:val="none" w:sz="0" w:space="0" w:color="auto"/>
        <w:bottom w:val="none" w:sz="0" w:space="0" w:color="auto"/>
        <w:right w:val="none" w:sz="0" w:space="0" w:color="auto"/>
      </w:divBdr>
      <w:divsChild>
        <w:div w:id="82530949">
          <w:marLeft w:val="547"/>
          <w:marRight w:val="0"/>
          <w:marTop w:val="120"/>
          <w:marBottom w:val="0"/>
          <w:divBdr>
            <w:top w:val="none" w:sz="0" w:space="0" w:color="auto"/>
            <w:left w:val="none" w:sz="0" w:space="0" w:color="auto"/>
            <w:bottom w:val="none" w:sz="0" w:space="0" w:color="auto"/>
            <w:right w:val="none" w:sz="0" w:space="0" w:color="auto"/>
          </w:divBdr>
        </w:div>
        <w:div w:id="305278890">
          <w:marLeft w:val="547"/>
          <w:marRight w:val="0"/>
          <w:marTop w:val="120"/>
          <w:marBottom w:val="0"/>
          <w:divBdr>
            <w:top w:val="none" w:sz="0" w:space="0" w:color="auto"/>
            <w:left w:val="none" w:sz="0" w:space="0" w:color="auto"/>
            <w:bottom w:val="none" w:sz="0" w:space="0" w:color="auto"/>
            <w:right w:val="none" w:sz="0" w:space="0" w:color="auto"/>
          </w:divBdr>
        </w:div>
        <w:div w:id="517740088">
          <w:marLeft w:val="547"/>
          <w:marRight w:val="0"/>
          <w:marTop w:val="120"/>
          <w:marBottom w:val="0"/>
          <w:divBdr>
            <w:top w:val="none" w:sz="0" w:space="0" w:color="auto"/>
            <w:left w:val="none" w:sz="0" w:space="0" w:color="auto"/>
            <w:bottom w:val="none" w:sz="0" w:space="0" w:color="auto"/>
            <w:right w:val="none" w:sz="0" w:space="0" w:color="auto"/>
          </w:divBdr>
        </w:div>
        <w:div w:id="1031154575">
          <w:marLeft w:val="547"/>
          <w:marRight w:val="0"/>
          <w:marTop w:val="120"/>
          <w:marBottom w:val="0"/>
          <w:divBdr>
            <w:top w:val="none" w:sz="0" w:space="0" w:color="auto"/>
            <w:left w:val="none" w:sz="0" w:space="0" w:color="auto"/>
            <w:bottom w:val="none" w:sz="0" w:space="0" w:color="auto"/>
            <w:right w:val="none" w:sz="0" w:space="0" w:color="auto"/>
          </w:divBdr>
        </w:div>
        <w:div w:id="1428766682">
          <w:marLeft w:val="1123"/>
          <w:marRight w:val="0"/>
          <w:marTop w:val="120"/>
          <w:marBottom w:val="0"/>
          <w:divBdr>
            <w:top w:val="none" w:sz="0" w:space="0" w:color="auto"/>
            <w:left w:val="none" w:sz="0" w:space="0" w:color="auto"/>
            <w:bottom w:val="none" w:sz="0" w:space="0" w:color="auto"/>
            <w:right w:val="none" w:sz="0" w:space="0" w:color="auto"/>
          </w:divBdr>
        </w:div>
        <w:div w:id="1415936178">
          <w:marLeft w:val="1123"/>
          <w:marRight w:val="0"/>
          <w:marTop w:val="120"/>
          <w:marBottom w:val="0"/>
          <w:divBdr>
            <w:top w:val="none" w:sz="0" w:space="0" w:color="auto"/>
            <w:left w:val="none" w:sz="0" w:space="0" w:color="auto"/>
            <w:bottom w:val="none" w:sz="0" w:space="0" w:color="auto"/>
            <w:right w:val="none" w:sz="0" w:space="0" w:color="auto"/>
          </w:divBdr>
        </w:div>
        <w:div w:id="393624292">
          <w:marLeft w:val="1123"/>
          <w:marRight w:val="0"/>
          <w:marTop w:val="120"/>
          <w:marBottom w:val="0"/>
          <w:divBdr>
            <w:top w:val="none" w:sz="0" w:space="0" w:color="auto"/>
            <w:left w:val="none" w:sz="0" w:space="0" w:color="auto"/>
            <w:bottom w:val="none" w:sz="0" w:space="0" w:color="auto"/>
            <w:right w:val="none" w:sz="0" w:space="0" w:color="auto"/>
          </w:divBdr>
        </w:div>
        <w:div w:id="293871024">
          <w:marLeft w:val="1123"/>
          <w:marRight w:val="0"/>
          <w:marTop w:val="120"/>
          <w:marBottom w:val="0"/>
          <w:divBdr>
            <w:top w:val="none" w:sz="0" w:space="0" w:color="auto"/>
            <w:left w:val="none" w:sz="0" w:space="0" w:color="auto"/>
            <w:bottom w:val="none" w:sz="0" w:space="0" w:color="auto"/>
            <w:right w:val="none" w:sz="0" w:space="0" w:color="auto"/>
          </w:divBdr>
        </w:div>
      </w:divsChild>
    </w:div>
    <w:div w:id="2056270289">
      <w:bodyDiv w:val="1"/>
      <w:marLeft w:val="0"/>
      <w:marRight w:val="0"/>
      <w:marTop w:val="0"/>
      <w:marBottom w:val="0"/>
      <w:divBdr>
        <w:top w:val="none" w:sz="0" w:space="0" w:color="auto"/>
        <w:left w:val="none" w:sz="0" w:space="0" w:color="auto"/>
        <w:bottom w:val="none" w:sz="0" w:space="0" w:color="auto"/>
        <w:right w:val="none" w:sz="0" w:space="0" w:color="auto"/>
      </w:divBdr>
    </w:div>
    <w:div w:id="2067028449">
      <w:bodyDiv w:val="1"/>
      <w:marLeft w:val="0"/>
      <w:marRight w:val="0"/>
      <w:marTop w:val="0"/>
      <w:marBottom w:val="0"/>
      <w:divBdr>
        <w:top w:val="none" w:sz="0" w:space="0" w:color="auto"/>
        <w:left w:val="none" w:sz="0" w:space="0" w:color="auto"/>
        <w:bottom w:val="none" w:sz="0" w:space="0" w:color="auto"/>
        <w:right w:val="none" w:sz="0" w:space="0" w:color="auto"/>
      </w:divBdr>
    </w:div>
    <w:div w:id="2076732412">
      <w:bodyDiv w:val="1"/>
      <w:marLeft w:val="0"/>
      <w:marRight w:val="0"/>
      <w:marTop w:val="0"/>
      <w:marBottom w:val="0"/>
      <w:divBdr>
        <w:top w:val="none" w:sz="0" w:space="0" w:color="auto"/>
        <w:left w:val="none" w:sz="0" w:space="0" w:color="auto"/>
        <w:bottom w:val="none" w:sz="0" w:space="0" w:color="auto"/>
        <w:right w:val="none" w:sz="0" w:space="0" w:color="auto"/>
      </w:divBdr>
    </w:div>
    <w:div w:id="2086952192">
      <w:bodyDiv w:val="1"/>
      <w:marLeft w:val="0"/>
      <w:marRight w:val="0"/>
      <w:marTop w:val="0"/>
      <w:marBottom w:val="0"/>
      <w:divBdr>
        <w:top w:val="none" w:sz="0" w:space="0" w:color="auto"/>
        <w:left w:val="none" w:sz="0" w:space="0" w:color="auto"/>
        <w:bottom w:val="none" w:sz="0" w:space="0" w:color="auto"/>
        <w:right w:val="none" w:sz="0" w:space="0" w:color="auto"/>
      </w:divBdr>
    </w:div>
    <w:div w:id="2144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3500</Words>
  <Characters>18404</Characters>
  <Application>Microsoft Office Word</Application>
  <DocSecurity>4</DocSecurity>
  <Lines>398</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2021-08-20T01:52:00Z</dcterms:created>
  <dcterms:modified xsi:type="dcterms:W3CDTF">2021-08-20T01:52:00Z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54D19DCC910C4C85ADEFB63C94238593</vt:lpwstr>
  </property>
  <property fmtid="{D5CDD505-2E9C-101B-9397-08002B2CF9AE}" pid="9" name="PM_ProtectiveMarkingValue_Footer">
    <vt:lpwstr>OFFICIAL</vt:lpwstr>
  </property>
  <property fmtid="{D5CDD505-2E9C-101B-9397-08002B2CF9AE}" pid="10" name="PM_Originator_Hash_SHA1">
    <vt:lpwstr>48C43A6D99819768D7F355CF815DDB417D2F0F0D</vt:lpwstr>
  </property>
  <property fmtid="{D5CDD505-2E9C-101B-9397-08002B2CF9AE}" pid="11" name="PM_OriginationTimeStamp">
    <vt:lpwstr>2021-08-20T01:52:12Z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065BAA9AD3E7B3319DA1479CA9513CDB</vt:lpwstr>
  </property>
  <property fmtid="{D5CDD505-2E9C-101B-9397-08002B2CF9AE}" pid="20" name="PM_Hash_Salt">
    <vt:lpwstr>CA2CEBD49F9528E9C5B47CAD7C5A8E8C</vt:lpwstr>
  </property>
  <property fmtid="{D5CDD505-2E9C-101B-9397-08002B2CF9AE}" pid="21" name="PM_Hash_SHA1">
    <vt:lpwstr>A616BF28C00AC32677439185860DC13CDE13633B</vt:lpwstr>
  </property>
  <property fmtid="{D5CDD505-2E9C-101B-9397-08002B2CF9AE}" pid="22" name="PM_SecurityClassification_Prev">
    <vt:lpwstr>OFFICIAL</vt:lpwstr>
  </property>
  <property fmtid="{D5CDD505-2E9C-101B-9397-08002B2CF9AE}" pid="23" name="PM_Qualifier_Prev">
    <vt:lpwstr/>
  </property>
</Properties>
</file>