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6187" w14:textId="77777777" w:rsidR="004A5517" w:rsidRPr="004A5517" w:rsidRDefault="004A5517" w:rsidP="004A5517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color w:val="0075AF"/>
          <w:sz w:val="20"/>
          <w:szCs w:val="26"/>
          <w:u w:val="single"/>
          <w:lang w:eastAsia="ja-JP"/>
        </w:rPr>
      </w:pP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இந்தக்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காணொலியைப்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பார்ப்பது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வேதனையான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நினைவுகளையும்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உணர்வுகளையும்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எழுப்பக்கூடும்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>.</w:t>
      </w:r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br/>
      </w:r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br/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இலவச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/>
        </w:rPr>
        <w:t xml:space="preserve">,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இரகசிய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ஆதரவுதவிக்கு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/>
        </w:rPr>
        <w:t>, 1800 737 377-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ஐ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அழைக்கவும்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அல்லது</w:t>
      </w:r>
      <w:r w:rsidRPr="004A5517">
        <w:rPr>
          <w:rFonts w:ascii="Vijaya" w:eastAsia="Arial Unicode MS" w:hAnsi="Vijaya" w:cs="Latha" w:hint="cs"/>
          <w:color w:val="auto"/>
          <w:sz w:val="24"/>
          <w:szCs w:val="26"/>
          <w:cs/>
          <w:lang w:val="en-US" w:eastAsia="en-AU" w:bidi="ta-IN"/>
        </w:rPr>
        <w:t xml:space="preserve"> </w:t>
      </w:r>
      <w:hyperlink r:id="rId11">
        <w:r w:rsidRPr="004A5517">
          <w:rPr>
            <w:rFonts w:ascii="Calibri" w:eastAsia="Calibri" w:hAnsi="Calibri" w:cs="Arial"/>
            <w:color w:val="0075AF"/>
            <w:sz w:val="20"/>
            <w:szCs w:val="26"/>
            <w:u w:val="single"/>
            <w:lang w:eastAsia="ja-JP"/>
          </w:rPr>
          <w:t>nationalredress.gov.au/support</w:t>
        </w:r>
      </w:hyperlink>
      <w:r w:rsidRPr="004A5517">
        <w:rPr>
          <w:rFonts w:ascii="Calibri" w:eastAsia="Calibri" w:hAnsi="Calibri" w:cs="Arial" w:hint="cs"/>
          <w:color w:val="0075AF"/>
          <w:sz w:val="20"/>
          <w:szCs w:val="26"/>
          <w:u w:val="single"/>
          <w:cs/>
          <w:lang w:eastAsia="ja-JP"/>
        </w:rPr>
        <w:t>-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ஐப்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பார்வையிடவும்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br/>
      </w:r>
    </w:p>
    <w:p w14:paraId="2D7D5628" w14:textId="77777777" w:rsidR="004A5517" w:rsidRPr="004A5517" w:rsidRDefault="004A5517" w:rsidP="004A5517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</w:pPr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t>‘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தேசிய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குறைதீர்ப்பு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திட்ட</w:t>
      </w:r>
      <w:r w:rsidRPr="004A5517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t>’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மானது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  <w:t xml:space="preserve">,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ஒரு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நிறுவனத்தில்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இருந்தபோது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குழந்தைப்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பாலியல்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துஷ்பிரயோகத்திற்கு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ஆளானவர்களுக்கானது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>.</w:t>
      </w:r>
    </w:p>
    <w:p w14:paraId="3C5EF567" w14:textId="77777777" w:rsidR="004A5517" w:rsidRPr="004A5517" w:rsidRDefault="004A5517" w:rsidP="004A5517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</w:pP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ஒரு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நிறுவனத்தின்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வளாகத்தில்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பாலியல்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துஷ்பிரயோகம்</w:t>
      </w:r>
      <w:proofErr w:type="spellEnd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நிகழ்ந்தபோது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அல்லது</w:t>
      </w:r>
      <w:r w:rsidRPr="004A5517"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ஒரு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நிறுவனத்தால்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ஏற்பாடு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செய்யப்பட்ட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முகாம்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போன்ற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 xml:space="preserve">ஒரு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செயல்பாட்டின்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போது</w:t>
      </w:r>
      <w:proofErr w:type="spellEnd"/>
      <w:r w:rsidRPr="004A5517">
        <w:rPr>
          <w:rFonts w:ascii="Vijaya" w:eastAsia="Calibri" w:hAnsi="Vijaya" w:cs="Vijaya"/>
          <w:b/>
          <w:color w:val="auto"/>
          <w:sz w:val="20"/>
          <w:szCs w:val="26"/>
          <w:lang w:val="it-IT" w:eastAsia="ja-JP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நடந்த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சந்தர்ப்பங்களும்</w:t>
      </w:r>
      <w:proofErr w:type="spellEnd"/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இதில்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4A5517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அடங்கும்</w:t>
      </w:r>
      <w:r w:rsidRPr="004A5517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>.</w:t>
      </w:r>
    </w:p>
    <w:p w14:paraId="30DE38D5" w14:textId="77777777" w:rsidR="004A5517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en-US" w:eastAsia="en-AU" w:bidi="ta-IN"/>
        </w:rPr>
      </w:pPr>
      <w:r w:rsidRPr="003B3EB0">
        <w:rPr>
          <w:rFonts w:ascii="Vijaya" w:eastAsia="Arial Unicode MS" w:hAnsi="Vijaya" w:cs="Vijaya"/>
          <w:b/>
          <w:sz w:val="24"/>
          <w:lang w:val="it-IT" w:eastAsia="en-AU" w:bidi="ta-IN"/>
        </w:rPr>
        <w:t>'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தேசிய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குறைதீர்ப்புத்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திட்டம்</w:t>
      </w:r>
      <w:r w:rsidRPr="003B3EB0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'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குறைதீர்ப்பை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அணுக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994644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 xml:space="preserve">மக்களுக்கு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உதவுகிறது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அத்துடன்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இலவச</w:t>
      </w:r>
      <w:proofErr w:type="spellEnd"/>
      <w:r w:rsidRPr="00994644">
        <w:rPr>
          <w:rFonts w:ascii="Vijaya" w:eastAsia="Arial Unicode MS" w:hAnsi="Vijaya" w:cs="Vijaya"/>
          <w:b/>
          <w:sz w:val="24"/>
          <w:lang w:val="en-US" w:eastAsia="en-AU" w:bidi="ta-IN"/>
        </w:rPr>
        <w:t xml:space="preserve">, </w:t>
      </w:r>
      <w:proofErr w:type="spellStart"/>
      <w:r w:rsidRPr="00994644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இரகசிய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குறைதீர்ப்பு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ஆதரவுதவி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சேவைகளுடன்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அவர்களைத்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தொடர்புபடுத்த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அதனால்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இயலும்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  <w:r>
        <w:rPr>
          <w:rFonts w:ascii="Vijaya" w:eastAsia="Arial Unicode MS" w:hAnsi="Vijaya" w:cs="Vijaya"/>
          <w:sz w:val="24"/>
          <w:lang w:val="en-US" w:eastAsia="en-AU" w:bidi="ta-IN"/>
        </w:rPr>
        <w:br/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குறைதீர்ப்பில்</w:t>
      </w:r>
      <w:proofErr w:type="spellEnd"/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ஒரு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பணக்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கொடுப்பனவு</w:t>
      </w:r>
      <w:proofErr w:type="spellEnd"/>
      <w:r w:rsidRPr="005A07ED">
        <w:rPr>
          <w:rFonts w:ascii="Vijaya" w:eastAsia="Arial Unicode MS" w:hAnsi="Vijaya" w:cs="Vijaya"/>
          <w:b/>
          <w:sz w:val="24"/>
          <w:lang w:val="en-US" w:eastAsia="en-AU" w:bidi="ta-IN"/>
        </w:rPr>
        <w:t xml:space="preserve">, </w:t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அறிவுரையாலோசனை</w:t>
      </w:r>
      <w:proofErr w:type="spellEnd"/>
      <w:r w:rsidRPr="005A07ED">
        <w:rPr>
          <w:rFonts w:ascii="Vijaya" w:eastAsia="Arial Unicode MS" w:hAnsi="Vijaya" w:cs="Vijaya"/>
          <w:b/>
          <w:sz w:val="24"/>
          <w:lang w:val="en-US" w:eastAsia="en-AU" w:bidi="ta-IN"/>
        </w:rPr>
        <w:t xml:space="preserve">,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உளவியல்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ஆதரவுதவி</w:t>
      </w:r>
      <w:proofErr w:type="spellEnd"/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என்பவற்றிற்கான</w:t>
      </w:r>
      <w:proofErr w:type="spellEnd"/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அணுகல்</w:t>
      </w:r>
      <w:proofErr w:type="spellEnd"/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மற்றும்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குறித்த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நிறுவனத்திடமிருந்து</w:t>
      </w:r>
      <w:proofErr w:type="spellEnd"/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மன்னிப்பு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ஆகியவை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A07ED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அடங்க</w:t>
      </w:r>
      <w:r w:rsidRPr="00994644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க்கூடும்</w:t>
      </w:r>
      <w:r w:rsidRPr="005A07ED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>.</w:t>
      </w:r>
    </w:p>
    <w:p w14:paraId="79B272CB" w14:textId="77777777" w:rsidR="004A5517" w:rsidRPr="0047641D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காகிதப்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 </w:t>
      </w:r>
      <w:r w:rsidRPr="007F18C7">
        <w:t xml:space="preserve">MyGov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மூலம்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இணையவழிப்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பூர்த்தி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செய்வதன்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மூலம்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94644"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99464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99464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 w:rsidRPr="00994644"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த்திற்கு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விண்ணப்பிக்கலாம்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4DEACE28" w14:textId="77777777" w:rsidR="004A5517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தாம்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வேண்டுமா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என்பதைத்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தீர்மானிப்பதற்கு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முன்</w:t>
      </w:r>
      <w:r w:rsidRPr="00080AEA">
        <w:rPr>
          <w:rFonts w:ascii="Vijaya" w:eastAsia="Arial Unicode MS" w:hAnsi="Vijaya" w:cs="Vijaya"/>
          <w:sz w:val="24"/>
          <w:lang w:val="en-US" w:eastAsia="en-AU" w:bidi="ta-IN"/>
        </w:rPr>
        <w:t xml:space="preserve">, 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சேவையிலுள்ள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ஒருவருடன்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பேசுவதைப்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பலரும்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பயனுள்ளதாக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காண்கின்றனர்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3B993692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விண்ணப்பிக்கும்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இடம்பெறும்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படிமுறைகள்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இதோ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>:</w:t>
      </w:r>
    </w:p>
    <w:p w14:paraId="7FCF5DE5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1.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விண்ணப்பப்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நிரப்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பு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வீர்கள்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15218BF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2.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பூர்த்தி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செய்யப்பட்ட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94644"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99464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99464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 w:rsidRPr="00994644"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த்திற்கு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தபால்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மூலமாகவோ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இணையவழியில்</w:t>
      </w:r>
      <w:proofErr w:type="spellEnd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விண்ணப்பிப்பதாயின்</w:t>
      </w:r>
      <w:proofErr w:type="spellEnd"/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647711">
        <w:rPr>
          <w:rFonts w:ascii="Vijaya" w:eastAsia="Arial Unicode MS" w:hAnsi="Vijaya" w:cs="Vijaya"/>
          <w:sz w:val="24"/>
          <w:lang w:val="en-US" w:eastAsia="en-AU" w:bidi="ta-IN"/>
        </w:rPr>
        <w:t>myGov</w:t>
      </w:r>
      <w:proofErr w:type="spellEnd"/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இணையதளம்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மூலமாகவோ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அனுப்பவும்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58C2948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3. </w:t>
      </w:r>
      <w:r w:rsidRPr="00994644"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99464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99464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9464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திட்டம்</w:t>
      </w:r>
      <w:r w:rsidRPr="00994644">
        <w:rPr>
          <w:rFonts w:ascii="Vijaya" w:eastAsia="Arial Unicode MS" w:hAnsi="Vijaya" w:cs="Vijaya"/>
          <w:sz w:val="24"/>
          <w:lang w:val="en-US" w:eastAsia="en-AU" w:bidi="ta-IN"/>
        </w:rPr>
        <w:t>’</w:t>
      </w: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விண்ணப்பத்தில்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அடையாளம்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காணப்பட்ட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நிறுவனங்களிலிருந்து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தகவல்களைச்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சேகரிக்கும்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. </w:t>
      </w:r>
    </w:p>
    <w:p w14:paraId="7D189D73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4.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/>
          <w:sz w:val="24"/>
          <w:lang w:val="en-US" w:eastAsia="en-AU" w:bidi="ta-IN"/>
        </w:rPr>
        <w:t>'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சுயா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தீன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முடிவெடுப்</w:t>
      </w:r>
      <w:r w:rsidRPr="00296C7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பாள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ர்</w:t>
      </w:r>
      <w:proofErr w:type="spellEnd"/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'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அனைத்து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தகவல்களையும்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296C77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மீளா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ய்வு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செய்து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முடிவைத்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தீர்மானிப்பார்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345D2D01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5.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உங்களுக்கான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தொடர்பாக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/>
          <w:sz w:val="24"/>
          <w:lang w:val="en-US" w:eastAsia="en-AU" w:bidi="ta-IN"/>
        </w:rPr>
        <w:t>'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தேசிய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திட்டம்</w:t>
      </w: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' </w:t>
      </w:r>
      <w:r w:rsidRPr="00296C77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உங்களுடன்</w:t>
      </w:r>
      <w:r>
        <w:rPr>
          <w:rFonts w:ascii="Vijaya" w:eastAsia="Arial Unicode MS" w:hAnsi="Vijaya" w:cs="Latha" w:hint="cs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தொடர்புகொள்ளும்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75944C50" w14:textId="77777777" w:rsidR="004A5517" w:rsidRPr="00647711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47711">
        <w:rPr>
          <w:rFonts w:ascii="Vijaya" w:eastAsia="Arial Unicode MS" w:hAnsi="Vijaya" w:cs="Vijaya"/>
          <w:sz w:val="24"/>
          <w:lang w:val="en-US" w:eastAsia="en-AU" w:bidi="ta-IN"/>
        </w:rPr>
        <w:t xml:space="preserve">6.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குறித்த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முடிவை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ஏற்றுக்கொள்வதா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மீளாய்வைக்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கோருவதா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என்பதைத்</w:t>
      </w:r>
      <w:proofErr w:type="spellEnd"/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தீர்மானிக்க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உங்களுக்கு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4771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அவகாசம்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6C77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இருக்கும்</w:t>
      </w:r>
      <w:r w:rsidRPr="0064771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47909766" w14:textId="77777777" w:rsidR="004A5517" w:rsidRPr="0054354E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உங்கள்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விருப்பத்</w:t>
      </w:r>
      <w:proofErr w:type="spellEnd"/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தெரிவுகளைப்</w:t>
      </w:r>
      <w:proofErr w:type="spellEnd"/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பற்றி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மேலும்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தெரிந்துகொள்ள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அல்லது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296C77">
        <w:rPr>
          <w:rFonts w:ascii="Vijaya" w:eastAsia="Arial Unicode MS" w:hAnsi="Vijaya" w:cs="Vijaya"/>
          <w:b/>
          <w:sz w:val="24"/>
          <w:lang w:val="it-IT" w:eastAsia="en-AU" w:bidi="ta-IN"/>
        </w:rPr>
        <w:t>‘</w:t>
      </w:r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குறைதீர்ப்பு</w:t>
      </w:r>
      <w:r w:rsidRPr="00296C77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உதவிச்</w:t>
      </w:r>
      <w:proofErr w:type="spellEnd"/>
      <w:r w:rsidRPr="00296C77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சேவைக</w:t>
      </w:r>
      <w:proofErr w:type="spellEnd"/>
      <w:r w:rsidRPr="00296C77">
        <w:rPr>
          <w:rFonts w:ascii="Vijaya" w:eastAsia="Arial Unicode MS" w:hAnsi="Vijaya" w:cs="Vijaya"/>
          <w:b/>
          <w:sz w:val="24"/>
          <w:lang w:val="it-IT" w:eastAsia="en-AU" w:bidi="ta-IN"/>
        </w:rPr>
        <w:t>’</w:t>
      </w:r>
      <w:proofErr w:type="spellStart"/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ளுடன்</w:t>
      </w:r>
      <w:proofErr w:type="spellEnd"/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 xml:space="preserve"> </w:t>
      </w:r>
      <w:proofErr w:type="spellStart"/>
      <w:r w:rsidRPr="00296C77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தொடர்புகொள்ள</w:t>
      </w:r>
      <w:proofErr w:type="spellEnd"/>
      <w:r w:rsidRPr="00296C77">
        <w:rPr>
          <w:rFonts w:ascii="Vijaya" w:eastAsia="Arial Unicode MS" w:hAnsi="Vijaya" w:cs="Vijaya"/>
          <w:b/>
          <w:sz w:val="24"/>
          <w:lang w:val="it-IT" w:eastAsia="en-AU" w:bidi="ta-IN"/>
        </w:rPr>
        <w:t>,</w:t>
      </w:r>
      <w:r w:rsidRPr="0054354E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 </w:t>
      </w:r>
      <w:r w:rsidRPr="0054354E">
        <w:rPr>
          <w:lang w:val="it-IT"/>
        </w:rPr>
        <w:t>1800 737 377</w:t>
      </w:r>
      <w:r w:rsidRPr="004F0759">
        <w:rPr>
          <w:b/>
          <w:bCs/>
          <w:cs/>
          <w:lang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என்ற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எண்ணை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திங்கள்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முதல்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வெள்ளி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வரை</w:t>
      </w:r>
      <w:r w:rsidRPr="0054354E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,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காலை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4354E">
        <w:rPr>
          <w:rFonts w:ascii="Vijaya" w:eastAsia="Arial Unicode MS" w:hAnsi="Vijaya" w:cs="Vijaya"/>
          <w:b/>
          <w:sz w:val="24"/>
          <w:lang w:val="it-IT" w:eastAsia="en-AU" w:bidi="ta-IN"/>
        </w:rPr>
        <w:t>8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மணி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முதல்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மாலை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54354E">
        <w:rPr>
          <w:rFonts w:ascii="Vijaya" w:eastAsia="Arial Unicode MS" w:hAnsi="Vijaya" w:cs="Vijaya"/>
          <w:b/>
          <w:sz w:val="24"/>
          <w:lang w:val="it-IT" w:eastAsia="en-AU" w:bidi="ta-IN"/>
        </w:rPr>
        <w:t>5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மணி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வரை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அழைக்கவும்</w:t>
      </w:r>
    </w:p>
    <w:p w14:paraId="110D1161" w14:textId="77777777" w:rsidR="004A5517" w:rsidRPr="0054354E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bCs/>
          <w:lang w:val="it-IT"/>
        </w:rPr>
        <w:t>n</w:t>
      </w:r>
      <w:r w:rsidRPr="00AB63B3">
        <w:rPr>
          <w:bCs/>
          <w:lang w:val="it-IT"/>
        </w:rPr>
        <w:t>ationalredress.gov.au</w:t>
      </w:r>
      <w:r w:rsidRPr="0054354E">
        <w:rPr>
          <w:rFonts w:ascii="Vijaya" w:eastAsia="Arial Unicode MS" w:hAnsi="Vijaya" w:cs="Vijaya"/>
          <w:sz w:val="24"/>
          <w:lang w:val="it-IT" w:eastAsia="en-AU" w:bidi="ta-IN"/>
        </w:rPr>
        <w:t xml:space="preserve"> -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ஐப்</w:t>
      </w:r>
      <w:proofErr w:type="spellEnd"/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பார்வையிடவும்</w:t>
      </w:r>
      <w:proofErr w:type="spellEnd"/>
      <w:r w:rsidRPr="0054354E">
        <w:rPr>
          <w:rFonts w:ascii="Vijaya" w:eastAsia="Arial Unicode MS" w:hAnsi="Vijaya" w:cs="Vijaya"/>
          <w:sz w:val="24"/>
          <w:lang w:val="it-IT" w:eastAsia="en-AU" w:bidi="ta-IN"/>
        </w:rPr>
        <w:t>.</w:t>
      </w:r>
    </w:p>
    <w:p w14:paraId="3F0F39E2" w14:textId="583700E5" w:rsidR="004A5517" w:rsidRPr="0047641D" w:rsidRDefault="004A5517" w:rsidP="004A551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</w:rPr>
      </w:pPr>
    </w:p>
    <w:p w14:paraId="5934CB3C" w14:textId="393DA2BB" w:rsidR="00CE275A" w:rsidRPr="00A26970" w:rsidRDefault="00CE275A" w:rsidP="00CE275A"/>
    <w:sectPr w:rsidR="00CE275A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82DEE" w14:textId="77777777" w:rsidR="00320D2A" w:rsidRDefault="00320D2A" w:rsidP="00D560DC">
      <w:pPr>
        <w:spacing w:before="0" w:after="0" w:line="240" w:lineRule="auto"/>
      </w:pPr>
      <w:r>
        <w:separator/>
      </w:r>
    </w:p>
  </w:endnote>
  <w:endnote w:type="continuationSeparator" w:id="0">
    <w:p w14:paraId="6FEA3F06" w14:textId="77777777" w:rsidR="00320D2A" w:rsidRDefault="00320D2A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jaya">
    <w:panose1 w:val="02020604020202020204"/>
    <w:charset w:val="00"/>
    <w:family w:val="roman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4A5517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6C5C8" w14:textId="77777777" w:rsidR="00320D2A" w:rsidRDefault="00320D2A" w:rsidP="00D560DC">
      <w:pPr>
        <w:spacing w:before="0" w:after="0" w:line="240" w:lineRule="auto"/>
      </w:pPr>
      <w:r>
        <w:separator/>
      </w:r>
    </w:p>
  </w:footnote>
  <w:footnote w:type="continuationSeparator" w:id="0">
    <w:p w14:paraId="097DF3FD" w14:textId="77777777" w:rsidR="00320D2A" w:rsidRDefault="00320D2A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20D2A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A5517"/>
    <w:rsid w:val="004B3D3F"/>
    <w:rsid w:val="004C7058"/>
    <w:rsid w:val="004E540A"/>
    <w:rsid w:val="004F0916"/>
    <w:rsid w:val="004F2FE7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5623F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A5517"/>
    <w:rPr>
      <w:color w:val="605E5C"/>
      <w:shd w:val="clear" w:color="auto" w:fill="E1DFDD"/>
    </w:rPr>
  </w:style>
  <w:style w:type="paragraph" w:customStyle="1" w:styleId="NormalTables">
    <w:name w:val="Normal – Tables"/>
    <w:basedOn w:val="Normal"/>
    <w:qFormat/>
    <w:rsid w:val="004A5517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2024-06-25T04:36:00Z</dcterms:created>
  <dcterms:modified xsi:type="dcterms:W3CDTF">2024-06-25T04:39:00Z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