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D3646" w14:textId="77777777" w:rsidR="001D0461" w:rsidRDefault="001D0461" w:rsidP="001D0461">
      <w:pPr>
        <w:pStyle w:val="Heading1"/>
        <w:spacing w:before="3360"/>
        <w:ind w:right="-330"/>
        <w:rPr>
          <w:rFonts w:eastAsiaTheme="minorHAnsi" w:cstheme="minorBidi"/>
          <w:b w:val="0"/>
          <w:bCs w:val="0"/>
          <w:sz w:val="22"/>
          <w:szCs w:val="22"/>
        </w:rPr>
      </w:pPr>
      <w:bookmarkStart w:id="0" w:name="_Toc168489462"/>
      <w:bookmarkStart w:id="1" w:name="_Toc167876444"/>
      <w:bookmarkStart w:id="2" w:name="_Toc167890457"/>
      <w:bookmarkStart w:id="3" w:name="_Toc169783356"/>
    </w:p>
    <w:bookmarkStart w:id="4" w:name="_Toc230098677" w:displacedByCustomXml="next"/>
    <w:bookmarkStart w:id="5" w:name="_Toc177113454" w:displacedByCustomXml="next"/>
    <w:bookmarkStart w:id="6" w:name="_Toc177113511" w:displacedByCustomXml="next"/>
    <w:sdt>
      <w:sdtPr>
        <w:rPr>
          <w:rFonts w:eastAsiaTheme="minorHAnsi" w:cstheme="minorBidi"/>
          <w:b w:val="0"/>
          <w:bCs w:val="0"/>
          <w:sz w:val="22"/>
          <w:szCs w:val="22"/>
        </w:rPr>
        <w:id w:val="-937596495"/>
        <w:docPartObj>
          <w:docPartGallery w:val="Cover Pages"/>
          <w:docPartUnique/>
        </w:docPartObj>
      </w:sdtPr>
      <w:sdtEndPr/>
      <w:sdtContent>
        <w:p w14:paraId="0367F114" w14:textId="77777777" w:rsidR="001D0461" w:rsidRPr="00740330" w:rsidRDefault="001D0461" w:rsidP="001D0461">
          <w:pPr>
            <w:pStyle w:val="Heading1"/>
            <w:spacing w:before="3360"/>
            <w:ind w:right="-330"/>
            <w:rPr>
              <w:sz w:val="56"/>
              <w:szCs w:val="52"/>
            </w:rPr>
          </w:pPr>
          <w:r w:rsidRPr="00740330">
            <w:rPr>
              <w:sz w:val="44"/>
              <w:szCs w:val="40"/>
            </w:rPr>
            <w:t>The National Redress Scheme’s</w:t>
          </w:r>
          <w:r w:rsidRPr="00740330">
            <w:rPr>
              <w:sz w:val="52"/>
              <w:szCs w:val="48"/>
            </w:rPr>
            <w:t xml:space="preserve"> </w:t>
          </w:r>
          <w:r w:rsidRPr="002B525E">
            <w:rPr>
              <w:sz w:val="64"/>
              <w:szCs w:val="64"/>
            </w:rPr>
            <w:t>Strategic Success Measures</w:t>
          </w:r>
          <w:bookmarkEnd w:id="0"/>
          <w:bookmarkEnd w:id="1"/>
          <w:bookmarkEnd w:id="2"/>
          <w:bookmarkEnd w:id="3"/>
          <w:bookmarkEnd w:id="6"/>
          <w:bookmarkEnd w:id="5"/>
          <w:bookmarkEnd w:id="4"/>
        </w:p>
        <w:p w14:paraId="459830FB" w14:textId="36802AFB" w:rsidR="001D0461" w:rsidRDefault="00E42506" w:rsidP="001D0461">
          <w:pPr>
            <w:spacing w:after="120" w:line="360" w:lineRule="auto"/>
            <w:ind w:right="1701"/>
            <w:rPr>
              <w:sz w:val="40"/>
              <w:szCs w:val="40"/>
            </w:rPr>
          </w:pPr>
          <w:r>
            <w:rPr>
              <w:sz w:val="40"/>
              <w:szCs w:val="40"/>
            </w:rPr>
            <w:t>December</w:t>
          </w:r>
          <w:r w:rsidR="001D0461">
            <w:rPr>
              <w:sz w:val="40"/>
              <w:szCs w:val="40"/>
            </w:rPr>
            <w:t xml:space="preserve"> 2025</w:t>
          </w:r>
        </w:p>
        <w:p w14:paraId="7A9BE72B" w14:textId="77777777" w:rsidR="001D0461" w:rsidRPr="00D83051" w:rsidRDefault="001D0461" w:rsidP="001D0461">
          <w:pPr>
            <w:spacing w:after="120" w:line="360" w:lineRule="auto"/>
            <w:ind w:right="1701"/>
            <w:rPr>
              <w:sz w:val="40"/>
              <w:szCs w:val="40"/>
            </w:rPr>
          </w:pPr>
          <w:r>
            <w:rPr>
              <w:noProof/>
              <w:lang w:eastAsia="en-AU"/>
            </w:rPr>
            <w:drawing>
              <wp:anchor distT="0" distB="0" distL="114300" distR="114300" simplePos="0" relativeHeight="251659264" behindDoc="1" locked="0" layoutInCell="1" allowOverlap="1" wp14:anchorId="3A49068E" wp14:editId="1E8D3C78">
                <wp:simplePos x="0" y="0"/>
                <wp:positionH relativeFrom="page">
                  <wp:posOffset>9525</wp:posOffset>
                </wp:positionH>
                <wp:positionV relativeFrom="page">
                  <wp:posOffset>7120890</wp:posOffset>
                </wp:positionV>
                <wp:extent cx="7559675" cy="3658870"/>
                <wp:effectExtent l="0" t="0" r="3175" b="0"/>
                <wp:wrapNone/>
                <wp:docPr id="707348990" name="Picture 7073489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3658870"/>
                        </a:xfrm>
                        <a:prstGeom prst="rect">
                          <a:avLst/>
                        </a:prstGeom>
                      </pic:spPr>
                    </pic:pic>
                  </a:graphicData>
                </a:graphic>
                <wp14:sizeRelH relativeFrom="margin">
                  <wp14:pctWidth>0</wp14:pctWidth>
                </wp14:sizeRelH>
                <wp14:sizeRelV relativeFrom="margin">
                  <wp14:pctHeight>0</wp14:pctHeight>
                </wp14:sizeRelV>
              </wp:anchor>
            </w:drawing>
          </w:r>
          <w:r>
            <w:rPr>
              <w:sz w:val="40"/>
              <w:szCs w:val="40"/>
            </w:rPr>
            <w:t xml:space="preserve"> </w:t>
          </w:r>
          <w:r>
            <w:rPr>
              <w:sz w:val="40"/>
              <w:szCs w:val="40"/>
            </w:rPr>
            <w:br w:type="page"/>
          </w:r>
        </w:p>
      </w:sdtContent>
    </w:sdt>
    <w:sdt>
      <w:sdtPr>
        <w:rPr>
          <w:rFonts w:eastAsiaTheme="minorHAnsi" w:cstheme="minorBidi"/>
          <w:b w:val="0"/>
          <w:bCs w:val="0"/>
          <w:sz w:val="22"/>
          <w:szCs w:val="22"/>
          <w:lang w:bidi="ar-SA"/>
        </w:rPr>
        <w:id w:val="-1776472249"/>
        <w:docPartObj>
          <w:docPartGallery w:val="Table of Contents"/>
          <w:docPartUnique/>
        </w:docPartObj>
      </w:sdtPr>
      <w:sdtEndPr>
        <w:rPr>
          <w:noProof/>
        </w:rPr>
      </w:sdtEndPr>
      <w:sdtContent>
        <w:p w14:paraId="4A006298" w14:textId="77777777" w:rsidR="001D0461" w:rsidRDefault="001D0461" w:rsidP="001D0461">
          <w:pPr>
            <w:pStyle w:val="TOCHeading"/>
          </w:pPr>
          <w:r>
            <w:t>Contents</w:t>
          </w:r>
        </w:p>
        <w:p w14:paraId="2EC4EC3B" w14:textId="4D6AF920" w:rsidR="005A21E4" w:rsidRDefault="001D0461">
          <w:pPr>
            <w:pStyle w:val="TOC1"/>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30098677" w:history="1">
            <w:r w:rsidR="005A21E4" w:rsidRPr="00D473E3">
              <w:rPr>
                <w:rStyle w:val="Hyperlink"/>
                <w:noProof/>
              </w:rPr>
              <w:t>The National Redress Scheme’s Strategic Success Measures</w:t>
            </w:r>
            <w:r w:rsidR="005A21E4">
              <w:rPr>
                <w:noProof/>
                <w:webHidden/>
              </w:rPr>
              <w:tab/>
            </w:r>
            <w:r w:rsidR="005A21E4">
              <w:rPr>
                <w:noProof/>
                <w:webHidden/>
              </w:rPr>
              <w:fldChar w:fldCharType="begin"/>
            </w:r>
            <w:r w:rsidR="005A21E4">
              <w:rPr>
                <w:noProof/>
                <w:webHidden/>
              </w:rPr>
              <w:instrText xml:space="preserve"> PAGEREF _Toc230098677 \h </w:instrText>
            </w:r>
            <w:r w:rsidR="005A21E4">
              <w:rPr>
                <w:noProof/>
                <w:webHidden/>
              </w:rPr>
            </w:r>
            <w:r w:rsidR="005A21E4">
              <w:rPr>
                <w:noProof/>
                <w:webHidden/>
              </w:rPr>
              <w:fldChar w:fldCharType="separate"/>
            </w:r>
            <w:r w:rsidR="005A21E4">
              <w:rPr>
                <w:noProof/>
                <w:webHidden/>
              </w:rPr>
              <w:t>0</w:t>
            </w:r>
            <w:r w:rsidR="005A21E4">
              <w:rPr>
                <w:noProof/>
                <w:webHidden/>
              </w:rPr>
              <w:fldChar w:fldCharType="end"/>
            </w:r>
          </w:hyperlink>
        </w:p>
        <w:p w14:paraId="53A76BA0" w14:textId="1A9E4479"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78" w:history="1">
            <w:r w:rsidRPr="00D473E3">
              <w:rPr>
                <w:rStyle w:val="Hyperlink"/>
                <w:noProof/>
              </w:rPr>
              <w:t>About this document</w:t>
            </w:r>
            <w:r>
              <w:rPr>
                <w:noProof/>
                <w:webHidden/>
              </w:rPr>
              <w:tab/>
            </w:r>
            <w:r>
              <w:rPr>
                <w:noProof/>
                <w:webHidden/>
              </w:rPr>
              <w:fldChar w:fldCharType="begin"/>
            </w:r>
            <w:r>
              <w:rPr>
                <w:noProof/>
                <w:webHidden/>
              </w:rPr>
              <w:instrText xml:space="preserve"> PAGEREF _Toc230098678 \h </w:instrText>
            </w:r>
            <w:r>
              <w:rPr>
                <w:noProof/>
                <w:webHidden/>
              </w:rPr>
            </w:r>
            <w:r>
              <w:rPr>
                <w:noProof/>
                <w:webHidden/>
              </w:rPr>
              <w:fldChar w:fldCharType="separate"/>
            </w:r>
            <w:r>
              <w:rPr>
                <w:noProof/>
                <w:webHidden/>
              </w:rPr>
              <w:t>2</w:t>
            </w:r>
            <w:r>
              <w:rPr>
                <w:noProof/>
                <w:webHidden/>
              </w:rPr>
              <w:fldChar w:fldCharType="end"/>
            </w:r>
          </w:hyperlink>
        </w:p>
        <w:p w14:paraId="58D8AAF2" w14:textId="037D37F7"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79" w:history="1">
            <w:r w:rsidRPr="00D473E3">
              <w:rPr>
                <w:rStyle w:val="Hyperlink"/>
                <w:noProof/>
              </w:rPr>
              <w:t>Disclaimer:</w:t>
            </w:r>
            <w:r>
              <w:rPr>
                <w:noProof/>
                <w:webHidden/>
              </w:rPr>
              <w:tab/>
            </w:r>
            <w:r>
              <w:rPr>
                <w:noProof/>
                <w:webHidden/>
              </w:rPr>
              <w:fldChar w:fldCharType="begin"/>
            </w:r>
            <w:r>
              <w:rPr>
                <w:noProof/>
                <w:webHidden/>
              </w:rPr>
              <w:instrText xml:space="preserve"> PAGEREF _Toc230098679 \h </w:instrText>
            </w:r>
            <w:r>
              <w:rPr>
                <w:noProof/>
                <w:webHidden/>
              </w:rPr>
            </w:r>
            <w:r>
              <w:rPr>
                <w:noProof/>
                <w:webHidden/>
              </w:rPr>
              <w:fldChar w:fldCharType="separate"/>
            </w:r>
            <w:r>
              <w:rPr>
                <w:noProof/>
                <w:webHidden/>
              </w:rPr>
              <w:t>2</w:t>
            </w:r>
            <w:r>
              <w:rPr>
                <w:noProof/>
                <w:webHidden/>
              </w:rPr>
              <w:fldChar w:fldCharType="end"/>
            </w:r>
          </w:hyperlink>
        </w:p>
        <w:p w14:paraId="0B22ED3E" w14:textId="15F72465"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80" w:history="1">
            <w:r w:rsidRPr="00D473E3">
              <w:rPr>
                <w:rStyle w:val="Hyperlink"/>
                <w:noProof/>
              </w:rPr>
              <w:t>Metrics</w:t>
            </w:r>
            <w:r>
              <w:rPr>
                <w:noProof/>
                <w:webHidden/>
              </w:rPr>
              <w:tab/>
            </w:r>
            <w:r>
              <w:rPr>
                <w:noProof/>
                <w:webHidden/>
              </w:rPr>
              <w:fldChar w:fldCharType="begin"/>
            </w:r>
            <w:r>
              <w:rPr>
                <w:noProof/>
                <w:webHidden/>
              </w:rPr>
              <w:instrText xml:space="preserve"> PAGEREF _Toc230098680 \h </w:instrText>
            </w:r>
            <w:r>
              <w:rPr>
                <w:noProof/>
                <w:webHidden/>
              </w:rPr>
            </w:r>
            <w:r>
              <w:rPr>
                <w:noProof/>
                <w:webHidden/>
              </w:rPr>
              <w:fldChar w:fldCharType="separate"/>
            </w:r>
            <w:r>
              <w:rPr>
                <w:noProof/>
                <w:webHidden/>
              </w:rPr>
              <w:t>2</w:t>
            </w:r>
            <w:r>
              <w:rPr>
                <w:noProof/>
                <w:webHidden/>
              </w:rPr>
              <w:fldChar w:fldCharType="end"/>
            </w:r>
          </w:hyperlink>
        </w:p>
        <w:p w14:paraId="55F42981" w14:textId="25FDCC05"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1" w:history="1">
            <w:r w:rsidRPr="00D473E3">
              <w:rPr>
                <w:rStyle w:val="Hyperlink"/>
                <w:noProof/>
              </w:rPr>
              <w:t>The Survivor Journey Metric</w:t>
            </w:r>
            <w:r>
              <w:rPr>
                <w:noProof/>
                <w:webHidden/>
              </w:rPr>
              <w:tab/>
            </w:r>
            <w:r>
              <w:rPr>
                <w:noProof/>
                <w:webHidden/>
              </w:rPr>
              <w:fldChar w:fldCharType="begin"/>
            </w:r>
            <w:r>
              <w:rPr>
                <w:noProof/>
                <w:webHidden/>
              </w:rPr>
              <w:instrText xml:space="preserve"> PAGEREF _Toc230098681 \h </w:instrText>
            </w:r>
            <w:r>
              <w:rPr>
                <w:noProof/>
                <w:webHidden/>
              </w:rPr>
            </w:r>
            <w:r>
              <w:rPr>
                <w:noProof/>
                <w:webHidden/>
              </w:rPr>
              <w:fldChar w:fldCharType="separate"/>
            </w:r>
            <w:r>
              <w:rPr>
                <w:noProof/>
                <w:webHidden/>
              </w:rPr>
              <w:t>2</w:t>
            </w:r>
            <w:r>
              <w:rPr>
                <w:noProof/>
                <w:webHidden/>
              </w:rPr>
              <w:fldChar w:fldCharType="end"/>
            </w:r>
          </w:hyperlink>
        </w:p>
        <w:p w14:paraId="12E92CBB" w14:textId="593B1BE5"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2" w:history="1">
            <w:r w:rsidRPr="00D473E3">
              <w:rPr>
                <w:rStyle w:val="Hyperlink"/>
                <w:noProof/>
              </w:rPr>
              <w:t>Redress Payment Metric</w:t>
            </w:r>
            <w:r>
              <w:rPr>
                <w:noProof/>
                <w:webHidden/>
              </w:rPr>
              <w:tab/>
            </w:r>
            <w:r>
              <w:rPr>
                <w:noProof/>
                <w:webHidden/>
              </w:rPr>
              <w:fldChar w:fldCharType="begin"/>
            </w:r>
            <w:r>
              <w:rPr>
                <w:noProof/>
                <w:webHidden/>
              </w:rPr>
              <w:instrText xml:space="preserve"> PAGEREF _Toc230098682 \h </w:instrText>
            </w:r>
            <w:r>
              <w:rPr>
                <w:noProof/>
                <w:webHidden/>
              </w:rPr>
            </w:r>
            <w:r>
              <w:rPr>
                <w:noProof/>
                <w:webHidden/>
              </w:rPr>
              <w:fldChar w:fldCharType="separate"/>
            </w:r>
            <w:r>
              <w:rPr>
                <w:noProof/>
                <w:webHidden/>
              </w:rPr>
              <w:t>2</w:t>
            </w:r>
            <w:r>
              <w:rPr>
                <w:noProof/>
                <w:webHidden/>
              </w:rPr>
              <w:fldChar w:fldCharType="end"/>
            </w:r>
          </w:hyperlink>
        </w:p>
        <w:p w14:paraId="1665C6DF" w14:textId="553FBBAD"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3" w:history="1">
            <w:r w:rsidRPr="00D473E3">
              <w:rPr>
                <w:rStyle w:val="Hyperlink"/>
                <w:noProof/>
              </w:rPr>
              <w:t>Application Timeliness Metric</w:t>
            </w:r>
            <w:r>
              <w:rPr>
                <w:noProof/>
                <w:webHidden/>
              </w:rPr>
              <w:tab/>
            </w:r>
            <w:r>
              <w:rPr>
                <w:noProof/>
                <w:webHidden/>
              </w:rPr>
              <w:fldChar w:fldCharType="begin"/>
            </w:r>
            <w:r>
              <w:rPr>
                <w:noProof/>
                <w:webHidden/>
              </w:rPr>
              <w:instrText xml:space="preserve"> PAGEREF _Toc230098683 \h </w:instrText>
            </w:r>
            <w:r>
              <w:rPr>
                <w:noProof/>
                <w:webHidden/>
              </w:rPr>
            </w:r>
            <w:r>
              <w:rPr>
                <w:noProof/>
                <w:webHidden/>
              </w:rPr>
              <w:fldChar w:fldCharType="separate"/>
            </w:r>
            <w:r>
              <w:rPr>
                <w:noProof/>
                <w:webHidden/>
              </w:rPr>
              <w:t>2</w:t>
            </w:r>
            <w:r>
              <w:rPr>
                <w:noProof/>
                <w:webHidden/>
              </w:rPr>
              <w:fldChar w:fldCharType="end"/>
            </w:r>
          </w:hyperlink>
        </w:p>
        <w:p w14:paraId="598B10AF" w14:textId="3E6E87EF"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4" w:history="1">
            <w:r w:rsidRPr="00D473E3">
              <w:rPr>
                <w:rStyle w:val="Hyperlink"/>
                <w:noProof/>
              </w:rPr>
              <w:t>Survivor Acceptance Metric</w:t>
            </w:r>
            <w:r>
              <w:rPr>
                <w:noProof/>
                <w:webHidden/>
              </w:rPr>
              <w:tab/>
            </w:r>
            <w:r>
              <w:rPr>
                <w:noProof/>
                <w:webHidden/>
              </w:rPr>
              <w:fldChar w:fldCharType="begin"/>
            </w:r>
            <w:r>
              <w:rPr>
                <w:noProof/>
                <w:webHidden/>
              </w:rPr>
              <w:instrText xml:space="preserve"> PAGEREF _Toc230098684 \h </w:instrText>
            </w:r>
            <w:r>
              <w:rPr>
                <w:noProof/>
                <w:webHidden/>
              </w:rPr>
            </w:r>
            <w:r>
              <w:rPr>
                <w:noProof/>
                <w:webHidden/>
              </w:rPr>
              <w:fldChar w:fldCharType="separate"/>
            </w:r>
            <w:r>
              <w:rPr>
                <w:noProof/>
                <w:webHidden/>
              </w:rPr>
              <w:t>2</w:t>
            </w:r>
            <w:r>
              <w:rPr>
                <w:noProof/>
                <w:webHidden/>
              </w:rPr>
              <w:fldChar w:fldCharType="end"/>
            </w:r>
          </w:hyperlink>
        </w:p>
        <w:p w14:paraId="470BE1D7" w14:textId="09DCAAF4"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5" w:history="1">
            <w:r w:rsidRPr="00D473E3">
              <w:rPr>
                <w:rStyle w:val="Hyperlink"/>
                <w:noProof/>
              </w:rPr>
              <w:t>Quality Decision Making Metric</w:t>
            </w:r>
            <w:r>
              <w:rPr>
                <w:noProof/>
                <w:webHidden/>
              </w:rPr>
              <w:tab/>
            </w:r>
            <w:r>
              <w:rPr>
                <w:noProof/>
                <w:webHidden/>
              </w:rPr>
              <w:fldChar w:fldCharType="begin"/>
            </w:r>
            <w:r>
              <w:rPr>
                <w:noProof/>
                <w:webHidden/>
              </w:rPr>
              <w:instrText xml:space="preserve"> PAGEREF _Toc230098685 \h </w:instrText>
            </w:r>
            <w:r>
              <w:rPr>
                <w:noProof/>
                <w:webHidden/>
              </w:rPr>
            </w:r>
            <w:r>
              <w:rPr>
                <w:noProof/>
                <w:webHidden/>
              </w:rPr>
              <w:fldChar w:fldCharType="separate"/>
            </w:r>
            <w:r>
              <w:rPr>
                <w:noProof/>
                <w:webHidden/>
              </w:rPr>
              <w:t>2</w:t>
            </w:r>
            <w:r>
              <w:rPr>
                <w:noProof/>
                <w:webHidden/>
              </w:rPr>
              <w:fldChar w:fldCharType="end"/>
            </w:r>
          </w:hyperlink>
        </w:p>
        <w:p w14:paraId="2DE3CDE6" w14:textId="4BC6A811"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6" w:history="1">
            <w:r w:rsidRPr="00D473E3">
              <w:rPr>
                <w:rStyle w:val="Hyperlink"/>
                <w:noProof/>
              </w:rPr>
              <w:t>Scheme Accessibility Metric</w:t>
            </w:r>
            <w:r>
              <w:rPr>
                <w:noProof/>
                <w:webHidden/>
              </w:rPr>
              <w:tab/>
            </w:r>
            <w:r>
              <w:rPr>
                <w:noProof/>
                <w:webHidden/>
              </w:rPr>
              <w:fldChar w:fldCharType="begin"/>
            </w:r>
            <w:r>
              <w:rPr>
                <w:noProof/>
                <w:webHidden/>
              </w:rPr>
              <w:instrText xml:space="preserve"> PAGEREF _Toc230098686 \h </w:instrText>
            </w:r>
            <w:r>
              <w:rPr>
                <w:noProof/>
                <w:webHidden/>
              </w:rPr>
            </w:r>
            <w:r>
              <w:rPr>
                <w:noProof/>
                <w:webHidden/>
              </w:rPr>
              <w:fldChar w:fldCharType="separate"/>
            </w:r>
            <w:r>
              <w:rPr>
                <w:noProof/>
                <w:webHidden/>
              </w:rPr>
              <w:t>2</w:t>
            </w:r>
            <w:r>
              <w:rPr>
                <w:noProof/>
                <w:webHidden/>
              </w:rPr>
              <w:fldChar w:fldCharType="end"/>
            </w:r>
          </w:hyperlink>
        </w:p>
        <w:p w14:paraId="175EAD66" w14:textId="3B804D78"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87" w:history="1">
            <w:r w:rsidRPr="00D473E3">
              <w:rPr>
                <w:rStyle w:val="Hyperlink"/>
                <w:noProof/>
              </w:rPr>
              <w:t>Key operating data: Redress Applications</w:t>
            </w:r>
            <w:r>
              <w:rPr>
                <w:noProof/>
                <w:webHidden/>
              </w:rPr>
              <w:tab/>
            </w:r>
            <w:r>
              <w:rPr>
                <w:noProof/>
                <w:webHidden/>
              </w:rPr>
              <w:fldChar w:fldCharType="begin"/>
            </w:r>
            <w:r>
              <w:rPr>
                <w:noProof/>
                <w:webHidden/>
              </w:rPr>
              <w:instrText xml:space="preserve"> PAGEREF _Toc230098687 \h </w:instrText>
            </w:r>
            <w:r>
              <w:rPr>
                <w:noProof/>
                <w:webHidden/>
              </w:rPr>
            </w:r>
            <w:r>
              <w:rPr>
                <w:noProof/>
                <w:webHidden/>
              </w:rPr>
              <w:fldChar w:fldCharType="separate"/>
            </w:r>
            <w:r>
              <w:rPr>
                <w:noProof/>
                <w:webHidden/>
              </w:rPr>
              <w:t>3</w:t>
            </w:r>
            <w:r>
              <w:rPr>
                <w:noProof/>
                <w:webHidden/>
              </w:rPr>
              <w:fldChar w:fldCharType="end"/>
            </w:r>
          </w:hyperlink>
        </w:p>
        <w:p w14:paraId="262EE86A" w14:textId="6A90207F"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88" w:history="1">
            <w:r w:rsidRPr="00D473E3">
              <w:rPr>
                <w:rStyle w:val="Hyperlink"/>
                <w:noProof/>
              </w:rPr>
              <w:t>Priority Area 1: Survivor Experience</w:t>
            </w:r>
            <w:r>
              <w:rPr>
                <w:noProof/>
                <w:webHidden/>
              </w:rPr>
              <w:tab/>
            </w:r>
            <w:r>
              <w:rPr>
                <w:noProof/>
                <w:webHidden/>
              </w:rPr>
              <w:fldChar w:fldCharType="begin"/>
            </w:r>
            <w:r>
              <w:rPr>
                <w:noProof/>
                <w:webHidden/>
              </w:rPr>
              <w:instrText xml:space="preserve"> PAGEREF _Toc230098688 \h </w:instrText>
            </w:r>
            <w:r>
              <w:rPr>
                <w:noProof/>
                <w:webHidden/>
              </w:rPr>
            </w:r>
            <w:r>
              <w:rPr>
                <w:noProof/>
                <w:webHidden/>
              </w:rPr>
              <w:fldChar w:fldCharType="separate"/>
            </w:r>
            <w:r>
              <w:rPr>
                <w:noProof/>
                <w:webHidden/>
              </w:rPr>
              <w:t>4</w:t>
            </w:r>
            <w:r>
              <w:rPr>
                <w:noProof/>
                <w:webHidden/>
              </w:rPr>
              <w:fldChar w:fldCharType="end"/>
            </w:r>
          </w:hyperlink>
        </w:p>
        <w:p w14:paraId="7096F37C" w14:textId="27DE787D"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89" w:history="1">
            <w:r w:rsidRPr="00D473E3">
              <w:rPr>
                <w:rStyle w:val="Hyperlink"/>
                <w:noProof/>
              </w:rPr>
              <w:t>1a. The Survivor Journey</w:t>
            </w:r>
            <w:r>
              <w:rPr>
                <w:noProof/>
                <w:webHidden/>
              </w:rPr>
              <w:tab/>
            </w:r>
            <w:r>
              <w:rPr>
                <w:noProof/>
                <w:webHidden/>
              </w:rPr>
              <w:fldChar w:fldCharType="begin"/>
            </w:r>
            <w:r>
              <w:rPr>
                <w:noProof/>
                <w:webHidden/>
              </w:rPr>
              <w:instrText xml:space="preserve"> PAGEREF _Toc230098689 \h </w:instrText>
            </w:r>
            <w:r>
              <w:rPr>
                <w:noProof/>
                <w:webHidden/>
              </w:rPr>
            </w:r>
            <w:r>
              <w:rPr>
                <w:noProof/>
                <w:webHidden/>
              </w:rPr>
              <w:fldChar w:fldCharType="separate"/>
            </w:r>
            <w:r>
              <w:rPr>
                <w:noProof/>
                <w:webHidden/>
              </w:rPr>
              <w:t>4</w:t>
            </w:r>
            <w:r>
              <w:rPr>
                <w:noProof/>
                <w:webHidden/>
              </w:rPr>
              <w:fldChar w:fldCharType="end"/>
            </w:r>
          </w:hyperlink>
        </w:p>
        <w:p w14:paraId="6A07D91A" w14:textId="37AD1C0C"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0" w:history="1">
            <w:r w:rsidRPr="00D473E3">
              <w:rPr>
                <w:rStyle w:val="Hyperlink"/>
                <w:noProof/>
              </w:rPr>
              <w:t>1b. Advance Payment</w:t>
            </w:r>
            <w:r>
              <w:rPr>
                <w:noProof/>
                <w:webHidden/>
              </w:rPr>
              <w:tab/>
            </w:r>
            <w:r>
              <w:rPr>
                <w:noProof/>
                <w:webHidden/>
              </w:rPr>
              <w:fldChar w:fldCharType="begin"/>
            </w:r>
            <w:r>
              <w:rPr>
                <w:noProof/>
                <w:webHidden/>
              </w:rPr>
              <w:instrText xml:space="preserve"> PAGEREF _Toc230098690 \h </w:instrText>
            </w:r>
            <w:r>
              <w:rPr>
                <w:noProof/>
                <w:webHidden/>
              </w:rPr>
            </w:r>
            <w:r>
              <w:rPr>
                <w:noProof/>
                <w:webHidden/>
              </w:rPr>
              <w:fldChar w:fldCharType="separate"/>
            </w:r>
            <w:r>
              <w:rPr>
                <w:noProof/>
                <w:webHidden/>
              </w:rPr>
              <w:t>5</w:t>
            </w:r>
            <w:r>
              <w:rPr>
                <w:noProof/>
                <w:webHidden/>
              </w:rPr>
              <w:fldChar w:fldCharType="end"/>
            </w:r>
          </w:hyperlink>
        </w:p>
        <w:p w14:paraId="4A209A6E" w14:textId="02D5D4E5"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1" w:history="1">
            <w:r w:rsidRPr="00D473E3">
              <w:rPr>
                <w:rStyle w:val="Hyperlink"/>
                <w:noProof/>
              </w:rPr>
              <w:t>1c. Redress Payment</w:t>
            </w:r>
            <w:r>
              <w:rPr>
                <w:noProof/>
                <w:webHidden/>
              </w:rPr>
              <w:tab/>
            </w:r>
            <w:r>
              <w:rPr>
                <w:noProof/>
                <w:webHidden/>
              </w:rPr>
              <w:fldChar w:fldCharType="begin"/>
            </w:r>
            <w:r>
              <w:rPr>
                <w:noProof/>
                <w:webHidden/>
              </w:rPr>
              <w:instrText xml:space="preserve"> PAGEREF _Toc230098691 \h </w:instrText>
            </w:r>
            <w:r>
              <w:rPr>
                <w:noProof/>
                <w:webHidden/>
              </w:rPr>
            </w:r>
            <w:r>
              <w:rPr>
                <w:noProof/>
                <w:webHidden/>
              </w:rPr>
              <w:fldChar w:fldCharType="separate"/>
            </w:r>
            <w:r>
              <w:rPr>
                <w:noProof/>
                <w:webHidden/>
              </w:rPr>
              <w:t>6</w:t>
            </w:r>
            <w:r>
              <w:rPr>
                <w:noProof/>
                <w:webHidden/>
              </w:rPr>
              <w:fldChar w:fldCharType="end"/>
            </w:r>
          </w:hyperlink>
        </w:p>
        <w:p w14:paraId="5FD13B96" w14:textId="3A3D0E28"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2" w:history="1">
            <w:r w:rsidRPr="00D473E3">
              <w:rPr>
                <w:rStyle w:val="Hyperlink"/>
                <w:noProof/>
              </w:rPr>
              <w:t>1d. Application Timeliness</w:t>
            </w:r>
            <w:r>
              <w:rPr>
                <w:noProof/>
                <w:webHidden/>
              </w:rPr>
              <w:tab/>
            </w:r>
            <w:r>
              <w:rPr>
                <w:noProof/>
                <w:webHidden/>
              </w:rPr>
              <w:fldChar w:fldCharType="begin"/>
            </w:r>
            <w:r>
              <w:rPr>
                <w:noProof/>
                <w:webHidden/>
              </w:rPr>
              <w:instrText xml:space="preserve"> PAGEREF _Toc230098692 \h </w:instrText>
            </w:r>
            <w:r>
              <w:rPr>
                <w:noProof/>
                <w:webHidden/>
              </w:rPr>
            </w:r>
            <w:r>
              <w:rPr>
                <w:noProof/>
                <w:webHidden/>
              </w:rPr>
              <w:fldChar w:fldCharType="separate"/>
            </w:r>
            <w:r>
              <w:rPr>
                <w:noProof/>
                <w:webHidden/>
              </w:rPr>
              <w:t>7</w:t>
            </w:r>
            <w:r>
              <w:rPr>
                <w:noProof/>
                <w:webHidden/>
              </w:rPr>
              <w:fldChar w:fldCharType="end"/>
            </w:r>
          </w:hyperlink>
        </w:p>
        <w:p w14:paraId="78E7CA39" w14:textId="7BD3A97C"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93" w:history="1">
            <w:r w:rsidRPr="00D473E3">
              <w:rPr>
                <w:rStyle w:val="Hyperlink"/>
                <w:noProof/>
              </w:rPr>
              <w:t>Priority Area 2: Health of the Scheme</w:t>
            </w:r>
            <w:r>
              <w:rPr>
                <w:noProof/>
                <w:webHidden/>
              </w:rPr>
              <w:tab/>
            </w:r>
            <w:r>
              <w:rPr>
                <w:noProof/>
                <w:webHidden/>
              </w:rPr>
              <w:fldChar w:fldCharType="begin"/>
            </w:r>
            <w:r>
              <w:rPr>
                <w:noProof/>
                <w:webHidden/>
              </w:rPr>
              <w:instrText xml:space="preserve"> PAGEREF _Toc230098693 \h </w:instrText>
            </w:r>
            <w:r>
              <w:rPr>
                <w:noProof/>
                <w:webHidden/>
              </w:rPr>
            </w:r>
            <w:r>
              <w:rPr>
                <w:noProof/>
                <w:webHidden/>
              </w:rPr>
              <w:fldChar w:fldCharType="separate"/>
            </w:r>
            <w:r>
              <w:rPr>
                <w:noProof/>
                <w:webHidden/>
              </w:rPr>
              <w:t>10</w:t>
            </w:r>
            <w:r>
              <w:rPr>
                <w:noProof/>
                <w:webHidden/>
              </w:rPr>
              <w:fldChar w:fldCharType="end"/>
            </w:r>
          </w:hyperlink>
        </w:p>
        <w:p w14:paraId="6F45D9A6" w14:textId="36244325"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4" w:history="1">
            <w:r w:rsidRPr="00D473E3">
              <w:rPr>
                <w:rStyle w:val="Hyperlink"/>
                <w:noProof/>
              </w:rPr>
              <w:t>2a. Survivor Acceptance</w:t>
            </w:r>
            <w:r>
              <w:rPr>
                <w:noProof/>
                <w:webHidden/>
              </w:rPr>
              <w:tab/>
            </w:r>
            <w:r>
              <w:rPr>
                <w:noProof/>
                <w:webHidden/>
              </w:rPr>
              <w:fldChar w:fldCharType="begin"/>
            </w:r>
            <w:r>
              <w:rPr>
                <w:noProof/>
                <w:webHidden/>
              </w:rPr>
              <w:instrText xml:space="preserve"> PAGEREF _Toc230098694 \h </w:instrText>
            </w:r>
            <w:r>
              <w:rPr>
                <w:noProof/>
                <w:webHidden/>
              </w:rPr>
            </w:r>
            <w:r>
              <w:rPr>
                <w:noProof/>
                <w:webHidden/>
              </w:rPr>
              <w:fldChar w:fldCharType="separate"/>
            </w:r>
            <w:r>
              <w:rPr>
                <w:noProof/>
                <w:webHidden/>
              </w:rPr>
              <w:t>10</w:t>
            </w:r>
            <w:r>
              <w:rPr>
                <w:noProof/>
                <w:webHidden/>
              </w:rPr>
              <w:fldChar w:fldCharType="end"/>
            </w:r>
          </w:hyperlink>
        </w:p>
        <w:p w14:paraId="65BBB9B3" w14:textId="6D3BC6CA"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5" w:history="1">
            <w:r w:rsidRPr="00D473E3">
              <w:rPr>
                <w:rStyle w:val="Hyperlink"/>
                <w:noProof/>
              </w:rPr>
              <w:t>2b. Maintaining Institutional Participation</w:t>
            </w:r>
            <w:r>
              <w:rPr>
                <w:noProof/>
                <w:webHidden/>
              </w:rPr>
              <w:tab/>
            </w:r>
            <w:r>
              <w:rPr>
                <w:noProof/>
                <w:webHidden/>
              </w:rPr>
              <w:fldChar w:fldCharType="begin"/>
            </w:r>
            <w:r>
              <w:rPr>
                <w:noProof/>
                <w:webHidden/>
              </w:rPr>
              <w:instrText xml:space="preserve"> PAGEREF _Toc230098695 \h </w:instrText>
            </w:r>
            <w:r>
              <w:rPr>
                <w:noProof/>
                <w:webHidden/>
              </w:rPr>
            </w:r>
            <w:r>
              <w:rPr>
                <w:noProof/>
                <w:webHidden/>
              </w:rPr>
              <w:fldChar w:fldCharType="separate"/>
            </w:r>
            <w:r>
              <w:rPr>
                <w:noProof/>
                <w:webHidden/>
              </w:rPr>
              <w:t>11</w:t>
            </w:r>
            <w:r>
              <w:rPr>
                <w:noProof/>
                <w:webHidden/>
              </w:rPr>
              <w:fldChar w:fldCharType="end"/>
            </w:r>
          </w:hyperlink>
        </w:p>
        <w:p w14:paraId="6DD006BB" w14:textId="04E556DD"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6" w:history="1">
            <w:r w:rsidRPr="00D473E3">
              <w:rPr>
                <w:rStyle w:val="Hyperlink"/>
                <w:noProof/>
              </w:rPr>
              <w:t>2c. Quality Decision Making</w:t>
            </w:r>
            <w:r>
              <w:rPr>
                <w:noProof/>
                <w:webHidden/>
              </w:rPr>
              <w:tab/>
            </w:r>
            <w:r>
              <w:rPr>
                <w:noProof/>
                <w:webHidden/>
              </w:rPr>
              <w:fldChar w:fldCharType="begin"/>
            </w:r>
            <w:r>
              <w:rPr>
                <w:noProof/>
                <w:webHidden/>
              </w:rPr>
              <w:instrText xml:space="preserve"> PAGEREF _Toc230098696 \h </w:instrText>
            </w:r>
            <w:r>
              <w:rPr>
                <w:noProof/>
                <w:webHidden/>
              </w:rPr>
            </w:r>
            <w:r>
              <w:rPr>
                <w:noProof/>
                <w:webHidden/>
              </w:rPr>
              <w:fldChar w:fldCharType="separate"/>
            </w:r>
            <w:r>
              <w:rPr>
                <w:noProof/>
                <w:webHidden/>
              </w:rPr>
              <w:t>12</w:t>
            </w:r>
            <w:r>
              <w:rPr>
                <w:noProof/>
                <w:webHidden/>
              </w:rPr>
              <w:fldChar w:fldCharType="end"/>
            </w:r>
          </w:hyperlink>
        </w:p>
        <w:p w14:paraId="609F13B1" w14:textId="1B6911BF" w:rsidR="005A21E4" w:rsidRDefault="005A21E4">
          <w:pPr>
            <w:pStyle w:val="TOC2"/>
            <w:rPr>
              <w:rFonts w:asciiTheme="minorHAnsi" w:eastAsiaTheme="minorEastAsia" w:hAnsiTheme="minorHAnsi"/>
              <w:noProof/>
              <w:kern w:val="2"/>
              <w:sz w:val="24"/>
              <w:szCs w:val="24"/>
              <w:lang w:eastAsia="en-AU"/>
              <w14:ligatures w14:val="standardContextual"/>
            </w:rPr>
          </w:pPr>
          <w:hyperlink w:anchor="_Toc230098697" w:history="1">
            <w:r w:rsidRPr="00D473E3">
              <w:rPr>
                <w:rStyle w:val="Hyperlink"/>
                <w:noProof/>
              </w:rPr>
              <w:t>Priority Area 3: Equity of Access</w:t>
            </w:r>
            <w:r>
              <w:rPr>
                <w:noProof/>
                <w:webHidden/>
              </w:rPr>
              <w:tab/>
            </w:r>
            <w:r>
              <w:rPr>
                <w:noProof/>
                <w:webHidden/>
              </w:rPr>
              <w:fldChar w:fldCharType="begin"/>
            </w:r>
            <w:r>
              <w:rPr>
                <w:noProof/>
                <w:webHidden/>
              </w:rPr>
              <w:instrText xml:space="preserve"> PAGEREF _Toc230098697 \h </w:instrText>
            </w:r>
            <w:r>
              <w:rPr>
                <w:noProof/>
                <w:webHidden/>
              </w:rPr>
            </w:r>
            <w:r>
              <w:rPr>
                <w:noProof/>
                <w:webHidden/>
              </w:rPr>
              <w:fldChar w:fldCharType="separate"/>
            </w:r>
            <w:r>
              <w:rPr>
                <w:noProof/>
                <w:webHidden/>
              </w:rPr>
              <w:t>13</w:t>
            </w:r>
            <w:r>
              <w:rPr>
                <w:noProof/>
                <w:webHidden/>
              </w:rPr>
              <w:fldChar w:fldCharType="end"/>
            </w:r>
          </w:hyperlink>
        </w:p>
        <w:p w14:paraId="51C34C89" w14:textId="62A444BB"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8" w:history="1">
            <w:r w:rsidRPr="00D473E3">
              <w:rPr>
                <w:rStyle w:val="Hyperlink"/>
                <w:noProof/>
              </w:rPr>
              <w:t>3a. Scheme Accessibility</w:t>
            </w:r>
            <w:r>
              <w:rPr>
                <w:noProof/>
                <w:webHidden/>
              </w:rPr>
              <w:tab/>
            </w:r>
            <w:r>
              <w:rPr>
                <w:noProof/>
                <w:webHidden/>
              </w:rPr>
              <w:fldChar w:fldCharType="begin"/>
            </w:r>
            <w:r>
              <w:rPr>
                <w:noProof/>
                <w:webHidden/>
              </w:rPr>
              <w:instrText xml:space="preserve"> PAGEREF _Toc230098698 \h </w:instrText>
            </w:r>
            <w:r>
              <w:rPr>
                <w:noProof/>
                <w:webHidden/>
              </w:rPr>
            </w:r>
            <w:r>
              <w:rPr>
                <w:noProof/>
                <w:webHidden/>
              </w:rPr>
              <w:fldChar w:fldCharType="separate"/>
            </w:r>
            <w:r>
              <w:rPr>
                <w:noProof/>
                <w:webHidden/>
              </w:rPr>
              <w:t>13</w:t>
            </w:r>
            <w:r>
              <w:rPr>
                <w:noProof/>
                <w:webHidden/>
              </w:rPr>
              <w:fldChar w:fldCharType="end"/>
            </w:r>
          </w:hyperlink>
        </w:p>
        <w:p w14:paraId="4C5BF870" w14:textId="0047D93A" w:rsidR="005A21E4" w:rsidRDefault="005A21E4">
          <w:pPr>
            <w:pStyle w:val="TOC3"/>
            <w:rPr>
              <w:rFonts w:asciiTheme="minorHAnsi" w:eastAsiaTheme="minorEastAsia" w:hAnsiTheme="minorHAnsi"/>
              <w:noProof/>
              <w:kern w:val="2"/>
              <w:sz w:val="24"/>
              <w:szCs w:val="24"/>
              <w:lang w:eastAsia="en-AU"/>
              <w14:ligatures w14:val="standardContextual"/>
            </w:rPr>
          </w:pPr>
          <w:hyperlink w:anchor="_Toc230098699" w:history="1">
            <w:r w:rsidRPr="00D473E3">
              <w:rPr>
                <w:rStyle w:val="Hyperlink"/>
                <w:noProof/>
              </w:rPr>
              <w:t>3b. Support Service Accessibility</w:t>
            </w:r>
            <w:r>
              <w:rPr>
                <w:noProof/>
                <w:webHidden/>
              </w:rPr>
              <w:tab/>
            </w:r>
            <w:r>
              <w:rPr>
                <w:noProof/>
                <w:webHidden/>
              </w:rPr>
              <w:fldChar w:fldCharType="begin"/>
            </w:r>
            <w:r>
              <w:rPr>
                <w:noProof/>
                <w:webHidden/>
              </w:rPr>
              <w:instrText xml:space="preserve"> PAGEREF _Toc230098699 \h </w:instrText>
            </w:r>
            <w:r>
              <w:rPr>
                <w:noProof/>
                <w:webHidden/>
              </w:rPr>
            </w:r>
            <w:r>
              <w:rPr>
                <w:noProof/>
                <w:webHidden/>
              </w:rPr>
              <w:fldChar w:fldCharType="separate"/>
            </w:r>
            <w:r>
              <w:rPr>
                <w:noProof/>
                <w:webHidden/>
              </w:rPr>
              <w:t>15</w:t>
            </w:r>
            <w:r>
              <w:rPr>
                <w:noProof/>
                <w:webHidden/>
              </w:rPr>
              <w:fldChar w:fldCharType="end"/>
            </w:r>
          </w:hyperlink>
        </w:p>
        <w:p w14:paraId="50D78D68" w14:textId="7F56C443" w:rsidR="001D0461" w:rsidRDefault="001D0461" w:rsidP="001D0461">
          <w:r>
            <w:rPr>
              <w:b/>
              <w:bCs/>
              <w:noProof/>
            </w:rPr>
            <w:fldChar w:fldCharType="end"/>
          </w:r>
        </w:p>
      </w:sdtContent>
    </w:sdt>
    <w:p w14:paraId="7858C04B" w14:textId="77777777" w:rsidR="001D0461" w:rsidRDefault="001D0461" w:rsidP="001D0461">
      <w:r>
        <w:br w:type="page"/>
      </w:r>
    </w:p>
    <w:p w14:paraId="7FD60490" w14:textId="77777777" w:rsidR="001D0461" w:rsidRDefault="001D0461" w:rsidP="001D0461">
      <w:pPr>
        <w:pStyle w:val="Heading2"/>
      </w:pPr>
      <w:bookmarkStart w:id="7" w:name="_Toc230098678"/>
      <w:r>
        <w:lastRenderedPageBreak/>
        <w:t>About this document</w:t>
      </w:r>
      <w:bookmarkEnd w:id="7"/>
    </w:p>
    <w:p w14:paraId="507A0A50" w14:textId="77777777" w:rsidR="001D0461" w:rsidRDefault="001D0461" w:rsidP="001D0461">
      <w:pPr>
        <w:spacing w:before="120" w:after="120"/>
        <w:ind w:right="-45"/>
      </w:pPr>
      <w:r>
        <w:t xml:space="preserve">The National Redress Scheme (the Scheme) is committed to transparency and providing publicly available data about our performance. </w:t>
      </w:r>
      <w:r w:rsidRPr="000F14B6">
        <w:t xml:space="preserve">The </w:t>
      </w:r>
      <w:r>
        <w:t>Scheme’s S</w:t>
      </w:r>
      <w:r w:rsidRPr="000F14B6">
        <w:t xml:space="preserve">trategic </w:t>
      </w:r>
      <w:r>
        <w:t>S</w:t>
      </w:r>
      <w:r w:rsidRPr="000F14B6">
        <w:t xml:space="preserve">uccess </w:t>
      </w:r>
      <w:r>
        <w:t>M</w:t>
      </w:r>
      <w:r w:rsidRPr="000F14B6">
        <w:t>easures provide survivors and the broader community an indication of how the Scheme is performing</w:t>
      </w:r>
      <w:r>
        <w:t xml:space="preserve"> a</w:t>
      </w:r>
      <w:r w:rsidRPr="000F14B6">
        <w:t>cross three priority areas:</w:t>
      </w:r>
    </w:p>
    <w:p w14:paraId="74EA7E98" w14:textId="77777777" w:rsidR="001D0461" w:rsidRPr="008B62BC" w:rsidRDefault="001D0461" w:rsidP="001D0461">
      <w:pPr>
        <w:pStyle w:val="ListParagraph"/>
        <w:numPr>
          <w:ilvl w:val="0"/>
          <w:numId w:val="4"/>
        </w:numPr>
        <w:spacing w:before="120" w:after="240"/>
        <w:ind w:right="-46"/>
      </w:pPr>
      <w:r w:rsidRPr="008B62BC">
        <w:t xml:space="preserve">survivor experience, </w:t>
      </w:r>
    </w:p>
    <w:p w14:paraId="63077DC2" w14:textId="77777777" w:rsidR="001D0461" w:rsidRPr="008B62BC" w:rsidRDefault="001D0461" w:rsidP="001D0461">
      <w:pPr>
        <w:pStyle w:val="ListParagraph"/>
        <w:numPr>
          <w:ilvl w:val="0"/>
          <w:numId w:val="4"/>
        </w:numPr>
        <w:spacing w:before="120" w:after="240"/>
        <w:ind w:right="-46"/>
      </w:pPr>
      <w:r w:rsidRPr="008B62BC">
        <w:t>health of the Scheme and,</w:t>
      </w:r>
    </w:p>
    <w:p w14:paraId="31707516" w14:textId="77777777" w:rsidR="001D0461" w:rsidRPr="008B62BC" w:rsidRDefault="001D0461" w:rsidP="001D0461">
      <w:pPr>
        <w:pStyle w:val="ListParagraph"/>
        <w:numPr>
          <w:ilvl w:val="0"/>
          <w:numId w:val="4"/>
        </w:numPr>
        <w:spacing w:before="120" w:after="240"/>
        <w:ind w:right="-46"/>
      </w:pPr>
      <w:r w:rsidRPr="008B62BC">
        <w:t>equity of access</w:t>
      </w:r>
      <w:r>
        <w:t>.</w:t>
      </w:r>
    </w:p>
    <w:p w14:paraId="42489F43" w14:textId="77777777" w:rsidR="001D0461" w:rsidRDefault="001D0461" w:rsidP="001D0461">
      <w:pPr>
        <w:spacing w:before="120" w:after="240"/>
        <w:ind w:right="-46"/>
      </w:pPr>
      <w:r w:rsidRPr="003F3F3E">
        <w:t>This report includes additional information about the timeliness of application processing, and the number of applications on hand with the Scheme.</w:t>
      </w:r>
    </w:p>
    <w:p w14:paraId="7712B81C" w14:textId="7D45B427" w:rsidR="001D0461" w:rsidRPr="005D31E0" w:rsidRDefault="001D0461" w:rsidP="001D0461">
      <w:pPr>
        <w:pStyle w:val="BodyText"/>
        <w:rPr>
          <w:rFonts w:ascii="Arial" w:eastAsiaTheme="minorHAnsi" w:hAnsi="Arial" w:cstheme="minorBidi"/>
          <w:sz w:val="22"/>
          <w:szCs w:val="22"/>
        </w:rPr>
      </w:pPr>
      <w:bookmarkStart w:id="8" w:name="_Toc230098679"/>
      <w:r w:rsidRPr="002B525E">
        <w:rPr>
          <w:rStyle w:val="Heading2Char"/>
          <w:sz w:val="22"/>
          <w:szCs w:val="22"/>
        </w:rPr>
        <w:t>Disclaimer</w:t>
      </w:r>
      <w:r w:rsidRPr="00B94DC8">
        <w:rPr>
          <w:rStyle w:val="Heading2Char"/>
          <w:sz w:val="22"/>
          <w:szCs w:val="22"/>
        </w:rPr>
        <w:t>:</w:t>
      </w:r>
      <w:bookmarkEnd w:id="8"/>
      <w:r w:rsidRPr="00B94DC8">
        <w:rPr>
          <w:rStyle w:val="Heading2Char"/>
          <w:sz w:val="22"/>
          <w:szCs w:val="22"/>
        </w:rPr>
        <w:t xml:space="preserve"> </w:t>
      </w:r>
      <w:r w:rsidRPr="00B94DC8">
        <w:rPr>
          <w:rFonts w:ascii="Arial" w:eastAsiaTheme="minorHAnsi" w:hAnsi="Arial" w:cstheme="minorBidi"/>
          <w:sz w:val="22"/>
          <w:szCs w:val="22"/>
        </w:rPr>
        <w:t>this document contains data on applications that were received from the start of the Scheme to 3</w:t>
      </w:r>
      <w:r w:rsidR="00E42506">
        <w:rPr>
          <w:rFonts w:ascii="Arial" w:eastAsiaTheme="minorHAnsi" w:hAnsi="Arial" w:cstheme="minorBidi"/>
          <w:sz w:val="22"/>
          <w:szCs w:val="22"/>
        </w:rPr>
        <w:t>1 December</w:t>
      </w:r>
      <w:r>
        <w:rPr>
          <w:rFonts w:ascii="Arial" w:eastAsiaTheme="minorHAnsi" w:hAnsi="Arial" w:cstheme="minorBidi"/>
          <w:sz w:val="22"/>
          <w:szCs w:val="22"/>
        </w:rPr>
        <w:t xml:space="preserve"> 2025</w:t>
      </w:r>
      <w:r w:rsidRPr="005D31E0">
        <w:rPr>
          <w:rFonts w:ascii="Arial" w:eastAsiaTheme="minorHAnsi" w:hAnsi="Arial" w:cstheme="minorBidi"/>
          <w:sz w:val="22"/>
          <w:szCs w:val="22"/>
        </w:rPr>
        <w:t xml:space="preserve">. </w:t>
      </w:r>
    </w:p>
    <w:p w14:paraId="242E0428" w14:textId="77777777" w:rsidR="001D0461" w:rsidRDefault="001D0461" w:rsidP="001D0461">
      <w:pPr>
        <w:pStyle w:val="Heading2"/>
        <w:spacing w:after="120"/>
      </w:pPr>
      <w:bookmarkStart w:id="9" w:name="_Toc230098680"/>
      <w:r w:rsidRPr="003560E0">
        <w:t>Metrics</w:t>
      </w:r>
      <w:bookmarkEnd w:id="9"/>
      <w:r>
        <w:t xml:space="preserve"> </w:t>
      </w:r>
    </w:p>
    <w:p w14:paraId="7E906EA4" w14:textId="60EB9241" w:rsidR="001D0461" w:rsidRPr="00182531" w:rsidRDefault="001D0461" w:rsidP="001D0461">
      <w:r>
        <w:t>The following metrics are referenced throughout this document to showcase the Scheme’s performance and progress:</w:t>
      </w:r>
    </w:p>
    <w:p w14:paraId="05F19373" w14:textId="77777777" w:rsidR="001D0461" w:rsidRPr="00182531" w:rsidRDefault="001D0461" w:rsidP="001D0461">
      <w:pPr>
        <w:pStyle w:val="Heading3"/>
      </w:pPr>
      <w:bookmarkStart w:id="10" w:name="_Toc230098681"/>
      <w:r w:rsidRPr="00182531">
        <w:t>The Survivor Journey Metric</w:t>
      </w:r>
      <w:bookmarkEnd w:id="10"/>
    </w:p>
    <w:p w14:paraId="1FB25EA6" w14:textId="77777777" w:rsidR="001D0461" w:rsidRPr="00182531" w:rsidRDefault="001D0461" w:rsidP="001D0461">
      <w:r w:rsidRPr="00182531">
        <w:t>Survivor experience with the process of the Scheme, including Scheme responsiveness, a degree of respectful, dignified, knowledgeable and trauma-informed interactions, ease of understanding, level of pro-activity, and consistency of service quality.</w:t>
      </w:r>
    </w:p>
    <w:p w14:paraId="18E5BECE" w14:textId="77777777" w:rsidR="001D0461" w:rsidRPr="00182531" w:rsidRDefault="001D0461" w:rsidP="001D0461">
      <w:pPr>
        <w:pStyle w:val="Heading3"/>
      </w:pPr>
      <w:bookmarkStart w:id="11" w:name="_Toc230098682"/>
      <w:r w:rsidRPr="00182531">
        <w:t>Redress Payment Metric</w:t>
      </w:r>
      <w:bookmarkEnd w:id="11"/>
    </w:p>
    <w:p w14:paraId="40D596AA" w14:textId="77777777" w:rsidR="001D0461" w:rsidRDefault="001D0461" w:rsidP="001D0461">
      <w:r w:rsidRPr="00182531">
        <w:t>The Scheme will issue ≥80% of eligible survivors with a redress payment within 14 days of receiving acceptance documentation.</w:t>
      </w:r>
    </w:p>
    <w:p w14:paraId="32047533" w14:textId="77777777" w:rsidR="006916C4" w:rsidRPr="00182531" w:rsidRDefault="006916C4" w:rsidP="006916C4">
      <w:pPr>
        <w:pStyle w:val="Heading3"/>
      </w:pPr>
      <w:bookmarkStart w:id="12" w:name="_Toc230098683"/>
      <w:r w:rsidRPr="00182531">
        <w:t>Application Timeliness Metric</w:t>
      </w:r>
      <w:bookmarkEnd w:id="12"/>
    </w:p>
    <w:p w14:paraId="629CD201" w14:textId="335AB923" w:rsidR="006916C4" w:rsidRPr="00182531" w:rsidRDefault="006916C4" w:rsidP="001D0461">
      <w:r w:rsidRPr="00182531">
        <w:t xml:space="preserve">At least 75% of applications that name institutions that participate in the National Redress Scheme </w:t>
      </w:r>
      <w:r w:rsidRPr="004E1EEE">
        <w:t xml:space="preserve">(the Scheme) will </w:t>
      </w:r>
      <w:r w:rsidRPr="00182531">
        <w:t>have a decision communicated to the applicant within 6 months of all necessary information being received by the Scheme.</w:t>
      </w:r>
    </w:p>
    <w:p w14:paraId="5D01C994" w14:textId="77777777" w:rsidR="001D0461" w:rsidRPr="00182531" w:rsidRDefault="001D0461" w:rsidP="001D0461">
      <w:pPr>
        <w:pStyle w:val="Heading3"/>
      </w:pPr>
      <w:bookmarkStart w:id="13" w:name="_Toc230098684"/>
      <w:r w:rsidRPr="00182531">
        <w:t>Survivor Acceptance Metric</w:t>
      </w:r>
      <w:bookmarkEnd w:id="13"/>
    </w:p>
    <w:p w14:paraId="289F1A18" w14:textId="77777777" w:rsidR="001D0461" w:rsidRDefault="001D0461" w:rsidP="001D0461">
      <w:r w:rsidRPr="00182531">
        <w:t>This metric measures the percentage of redress offers accepted by survivors across Direct Personal Responses and Counselling and Psychological Care services.</w:t>
      </w:r>
    </w:p>
    <w:p w14:paraId="7AB8D0B3" w14:textId="77777777" w:rsidR="001D0461" w:rsidRPr="00182531" w:rsidRDefault="001D0461" w:rsidP="001D0461">
      <w:pPr>
        <w:pStyle w:val="Heading3"/>
      </w:pPr>
      <w:bookmarkStart w:id="14" w:name="_Toc230098685"/>
      <w:r w:rsidRPr="00182531">
        <w:t>Quality Decision Making Metric</w:t>
      </w:r>
      <w:bookmarkEnd w:id="14"/>
    </w:p>
    <w:p w14:paraId="1F2B55E5" w14:textId="77777777" w:rsidR="001D0461" w:rsidRDefault="001D0461" w:rsidP="001D0461">
      <w:r w:rsidRPr="00182531">
        <w:t xml:space="preserve">The Scheme will maintain quality decision-making, with ≥95% of initial determinations reflecting the </w:t>
      </w:r>
      <w:proofErr w:type="gramStart"/>
      <w:r w:rsidRPr="00182531">
        <w:t>final outcome</w:t>
      </w:r>
      <w:proofErr w:type="gramEnd"/>
      <w:r w:rsidRPr="00182531">
        <w:t>.</w:t>
      </w:r>
    </w:p>
    <w:p w14:paraId="5C8AF733" w14:textId="77777777" w:rsidR="001D0461" w:rsidRDefault="001D0461" w:rsidP="001D0461">
      <w:pPr>
        <w:pStyle w:val="Heading3"/>
      </w:pPr>
      <w:bookmarkStart w:id="15" w:name="_Toc230098686"/>
      <w:r w:rsidRPr="002E1E7F">
        <w:t>Scheme Accessibility Metric</w:t>
      </w:r>
      <w:bookmarkEnd w:id="15"/>
    </w:p>
    <w:p w14:paraId="5A3A4488" w14:textId="77777777" w:rsidR="001D0461" w:rsidRDefault="001D0461" w:rsidP="001D0461">
      <w:r>
        <w:t>The number of survivors who successfully lodge an application with the Scheme each year, published according to survivor demographics, such as participation by First Nations / rural and remote / people with disability / the elderly.</w:t>
      </w:r>
    </w:p>
    <w:p w14:paraId="0863E98E" w14:textId="77777777" w:rsidR="001D0461" w:rsidRDefault="001D0461" w:rsidP="001D0461"/>
    <w:p w14:paraId="7C039F62" w14:textId="715D52C6" w:rsidR="001D0461" w:rsidRPr="00977DF0" w:rsidRDefault="001D0461" w:rsidP="001D0461">
      <w:pPr>
        <w:pStyle w:val="Heading2"/>
        <w:spacing w:after="120"/>
        <w:rPr>
          <w:b w:val="0"/>
          <w:bCs w:val="0"/>
          <w:color w:val="00B0F0"/>
          <w:sz w:val="18"/>
          <w:szCs w:val="18"/>
        </w:rPr>
      </w:pPr>
      <w:bookmarkStart w:id="16" w:name="_Toc230098687"/>
      <w:r w:rsidRPr="002A1E90">
        <w:rPr>
          <w:sz w:val="28"/>
          <w:szCs w:val="28"/>
        </w:rPr>
        <w:lastRenderedPageBreak/>
        <w:t>Key operating data: Redress Applications</w:t>
      </w:r>
      <w:bookmarkEnd w:id="16"/>
    </w:p>
    <w:p w14:paraId="320678A6" w14:textId="142F1A8C" w:rsidR="001D0461" w:rsidRPr="003F549E" w:rsidRDefault="001D0461" w:rsidP="001D0461">
      <w:r w:rsidRPr="003F549E">
        <w:t xml:space="preserve">As </w:t>
      </w:r>
      <w:proofErr w:type="gramStart"/>
      <w:r w:rsidRPr="003F549E">
        <w:t>at</w:t>
      </w:r>
      <w:proofErr w:type="gramEnd"/>
      <w:r w:rsidRPr="003F549E">
        <w:t xml:space="preserve"> </w:t>
      </w:r>
      <w:r w:rsidRPr="003F549E">
        <w:rPr>
          <w:b/>
          <w:bCs/>
        </w:rPr>
        <w:t>3</w:t>
      </w:r>
      <w:r w:rsidR="00E42506" w:rsidRPr="003F549E">
        <w:rPr>
          <w:b/>
          <w:bCs/>
        </w:rPr>
        <w:t>1 December</w:t>
      </w:r>
      <w:r w:rsidRPr="003F549E">
        <w:rPr>
          <w:b/>
          <w:bCs/>
        </w:rPr>
        <w:t xml:space="preserve"> 2025</w:t>
      </w:r>
      <w:r w:rsidRPr="003F549E">
        <w:t xml:space="preserve">, </w:t>
      </w:r>
      <w:r w:rsidR="0039693D" w:rsidRPr="005813C9">
        <w:rPr>
          <w:b/>
          <w:bCs/>
        </w:rPr>
        <w:t>72,335</w:t>
      </w:r>
      <w:r w:rsidR="00572025">
        <w:rPr>
          <w:rStyle w:val="FootnoteReference"/>
          <w:b/>
          <w:bCs/>
        </w:rPr>
        <w:footnoteReference w:id="1"/>
      </w:r>
      <w:r w:rsidRPr="003F549E">
        <w:t xml:space="preserve"> applications had been received by the Scheme. Of these:</w:t>
      </w:r>
    </w:p>
    <w:p w14:paraId="3D4F507F" w14:textId="53B7F204" w:rsidR="001D0461" w:rsidRPr="003F549E" w:rsidRDefault="001D0461" w:rsidP="001D0461">
      <w:pPr>
        <w:pStyle w:val="ListParagraph"/>
        <w:numPr>
          <w:ilvl w:val="0"/>
          <w:numId w:val="1"/>
        </w:numPr>
        <w:spacing w:before="60" w:after="60"/>
        <w:ind w:hanging="357"/>
        <w:contextualSpacing w:val="0"/>
      </w:pPr>
      <w:r w:rsidRPr="003F549E">
        <w:rPr>
          <w:b/>
        </w:rPr>
        <w:t>2</w:t>
      </w:r>
      <w:r w:rsidR="0039693D" w:rsidRPr="003F549E">
        <w:rPr>
          <w:b/>
        </w:rPr>
        <w:t>5,317</w:t>
      </w:r>
      <w:r w:rsidRPr="003F549E">
        <w:t xml:space="preserve"> outcomes were issued to applicants (</w:t>
      </w:r>
      <w:r w:rsidR="00F83448" w:rsidRPr="003F549E">
        <w:rPr>
          <w:b/>
        </w:rPr>
        <w:t>2</w:t>
      </w:r>
      <w:r w:rsidR="0039693D" w:rsidRPr="003F549E">
        <w:rPr>
          <w:b/>
        </w:rPr>
        <w:t>3,358</w:t>
      </w:r>
      <w:r w:rsidRPr="003F549E">
        <w:t xml:space="preserve"> applications were finalised)</w:t>
      </w:r>
    </w:p>
    <w:p w14:paraId="26CFE9F6" w14:textId="0C5051FC" w:rsidR="001D0461" w:rsidRPr="003F549E" w:rsidRDefault="001D0461" w:rsidP="001D0461">
      <w:pPr>
        <w:pStyle w:val="ListParagraph"/>
        <w:numPr>
          <w:ilvl w:val="0"/>
          <w:numId w:val="1"/>
        </w:numPr>
        <w:spacing w:before="60" w:after="60"/>
        <w:ind w:hanging="357"/>
        <w:contextualSpacing w:val="0"/>
      </w:pPr>
      <w:r w:rsidRPr="003F549E">
        <w:t xml:space="preserve">Since the start of the Scheme, </w:t>
      </w:r>
      <w:r w:rsidR="009C57AC" w:rsidRPr="003F549E">
        <w:rPr>
          <w:b/>
          <w:bCs/>
        </w:rPr>
        <w:t>20,773</w:t>
      </w:r>
      <w:r w:rsidRPr="003F549E">
        <w:t xml:space="preserve"> payments were made totalling approximately </w:t>
      </w:r>
      <w:r w:rsidRPr="003F549E">
        <w:rPr>
          <w:b/>
        </w:rPr>
        <w:t>$1.</w:t>
      </w:r>
      <w:r w:rsidR="00BD6EDA" w:rsidRPr="003F549E">
        <w:rPr>
          <w:b/>
        </w:rPr>
        <w:t>85</w:t>
      </w:r>
      <w:r w:rsidRPr="003F549E">
        <w:rPr>
          <w:b/>
        </w:rPr>
        <w:t xml:space="preserve"> billion</w:t>
      </w:r>
      <w:r w:rsidRPr="003F549E">
        <w:t xml:space="preserve">, with an average payment amount of </w:t>
      </w:r>
      <w:r w:rsidRPr="003F549E">
        <w:rPr>
          <w:b/>
        </w:rPr>
        <w:t>$89,</w:t>
      </w:r>
      <w:r w:rsidR="00BD6EDA" w:rsidRPr="003F549E">
        <w:rPr>
          <w:b/>
        </w:rPr>
        <w:t>194</w:t>
      </w:r>
    </w:p>
    <w:p w14:paraId="114F4355" w14:textId="464BE8F9" w:rsidR="001D0461" w:rsidRPr="003F549E" w:rsidRDefault="00B51BA0" w:rsidP="001D0461">
      <w:pPr>
        <w:pStyle w:val="ListParagraph"/>
        <w:numPr>
          <w:ilvl w:val="0"/>
          <w:numId w:val="1"/>
        </w:numPr>
        <w:spacing w:before="60" w:after="60"/>
        <w:ind w:hanging="357"/>
        <w:contextualSpacing w:val="0"/>
      </w:pPr>
      <w:r w:rsidRPr="003F549E">
        <w:rPr>
          <w:b/>
        </w:rPr>
        <w:t>43,536</w:t>
      </w:r>
      <w:r w:rsidR="001D0461" w:rsidRPr="003F549E">
        <w:t xml:space="preserve"> applications </w:t>
      </w:r>
      <w:r w:rsidR="002C0E9A" w:rsidRPr="003F549E">
        <w:t>are yet to have their outcomes advised. Of these:</w:t>
      </w:r>
    </w:p>
    <w:p w14:paraId="28D6D9DD" w14:textId="55D35461" w:rsidR="001D0461" w:rsidRPr="003F549E" w:rsidRDefault="00F83448" w:rsidP="001D0461">
      <w:pPr>
        <w:pStyle w:val="ListParagraph"/>
        <w:numPr>
          <w:ilvl w:val="1"/>
          <w:numId w:val="1"/>
        </w:numPr>
        <w:spacing w:before="60" w:after="60"/>
        <w:ind w:hanging="357"/>
        <w:contextualSpacing w:val="0"/>
      </w:pPr>
      <w:r w:rsidRPr="003F549E">
        <w:rPr>
          <w:b/>
        </w:rPr>
        <w:t>2</w:t>
      </w:r>
      <w:r w:rsidR="00B51BA0" w:rsidRPr="003F549E">
        <w:rPr>
          <w:b/>
        </w:rPr>
        <w:t>9,053</w:t>
      </w:r>
      <w:r w:rsidR="001D0461" w:rsidRPr="003F549E">
        <w:rPr>
          <w:b/>
        </w:rPr>
        <w:t xml:space="preserve"> </w:t>
      </w:r>
      <w:r w:rsidR="001D0461" w:rsidRPr="003F549E">
        <w:rPr>
          <w:bCs/>
        </w:rPr>
        <w:t>applications are actionable by the Scheme</w:t>
      </w:r>
      <w:r w:rsidR="001D0461" w:rsidRPr="003F549E">
        <w:t xml:space="preserve"> </w:t>
      </w:r>
    </w:p>
    <w:p w14:paraId="5570BFC9" w14:textId="2C426E0E" w:rsidR="001D0461" w:rsidRPr="003F549E" w:rsidRDefault="00B51BA0" w:rsidP="001D0461">
      <w:pPr>
        <w:pStyle w:val="ListParagraph"/>
        <w:numPr>
          <w:ilvl w:val="1"/>
          <w:numId w:val="1"/>
        </w:numPr>
        <w:spacing w:before="60" w:after="60"/>
        <w:ind w:hanging="357"/>
        <w:contextualSpacing w:val="0"/>
      </w:pPr>
      <w:r w:rsidRPr="003F549E">
        <w:rPr>
          <w:b/>
        </w:rPr>
        <w:t>8,627</w:t>
      </w:r>
      <w:r w:rsidR="001D0461" w:rsidRPr="003F549E">
        <w:rPr>
          <w:b/>
        </w:rPr>
        <w:t xml:space="preserve"> </w:t>
      </w:r>
      <w:r w:rsidR="001D0461" w:rsidRPr="003F549E">
        <w:rPr>
          <w:bCs/>
        </w:rPr>
        <w:t>are unable to be actioned by the Scheme</w:t>
      </w:r>
    </w:p>
    <w:p w14:paraId="617A6D51" w14:textId="20A435E7" w:rsidR="001D0461" w:rsidRPr="003F549E" w:rsidRDefault="00B51BA0" w:rsidP="001D0461">
      <w:pPr>
        <w:pStyle w:val="ListParagraph"/>
        <w:numPr>
          <w:ilvl w:val="1"/>
          <w:numId w:val="1"/>
        </w:numPr>
        <w:spacing w:before="60" w:after="60"/>
        <w:ind w:hanging="357"/>
        <w:contextualSpacing w:val="0"/>
      </w:pPr>
      <w:r w:rsidRPr="003F549E">
        <w:rPr>
          <w:b/>
        </w:rPr>
        <w:t>5,856</w:t>
      </w:r>
      <w:r w:rsidR="001D0461" w:rsidRPr="003F549E">
        <w:t xml:space="preserve"> applications were on hold (for reasons such as at the request of the applicant, due to a non-participating institution, or difficulty in contacting the applicant)</w:t>
      </w:r>
    </w:p>
    <w:p w14:paraId="30C09A76" w14:textId="3F28954D" w:rsidR="001D0461" w:rsidRPr="00570C38" w:rsidRDefault="00A8354D" w:rsidP="001D0461">
      <w:pPr>
        <w:numPr>
          <w:ilvl w:val="0"/>
          <w:numId w:val="1"/>
        </w:numPr>
        <w:spacing w:before="60" w:after="60"/>
        <w:ind w:hanging="357"/>
      </w:pPr>
      <w:r w:rsidRPr="0039578B">
        <w:rPr>
          <w:b/>
        </w:rPr>
        <w:t>3,</w:t>
      </w:r>
      <w:r w:rsidRPr="00570C38">
        <w:rPr>
          <w:b/>
        </w:rPr>
        <w:t>482</w:t>
      </w:r>
      <w:r w:rsidR="001D0461" w:rsidRPr="00570C38">
        <w:t xml:space="preserve"> applications had been withdrawn</w:t>
      </w:r>
      <w:r w:rsidR="001D0461" w:rsidRPr="00570C38">
        <w:rPr>
          <w:b/>
          <w:bCs/>
        </w:rPr>
        <w:t xml:space="preserve"> </w:t>
      </w:r>
    </w:p>
    <w:p w14:paraId="5C1DE624" w14:textId="012E22E9" w:rsidR="001D0461" w:rsidRPr="00570C38" w:rsidRDefault="00570C38" w:rsidP="00570C38">
      <w:pPr>
        <w:pStyle w:val="ListParagraph"/>
        <w:numPr>
          <w:ilvl w:val="0"/>
          <w:numId w:val="1"/>
        </w:numPr>
        <w:spacing w:before="60" w:after="60"/>
        <w:ind w:hanging="357"/>
        <w:contextualSpacing w:val="0"/>
      </w:pPr>
      <w:r w:rsidRPr="00570C38">
        <w:rPr>
          <w:b/>
        </w:rPr>
        <w:t>363</w:t>
      </w:r>
      <w:r w:rsidR="001D0461" w:rsidRPr="00570C38">
        <w:t xml:space="preserve"> applications are undergoing reviews</w:t>
      </w:r>
    </w:p>
    <w:p w14:paraId="0212D64A" w14:textId="2C9C9CF9" w:rsidR="001D0461" w:rsidRPr="005D31E0" w:rsidRDefault="001D0461" w:rsidP="001D0461">
      <w:pPr>
        <w:pStyle w:val="ListParagraph"/>
        <w:numPr>
          <w:ilvl w:val="0"/>
          <w:numId w:val="1"/>
        </w:numPr>
        <w:spacing w:before="60" w:after="60"/>
        <w:ind w:hanging="357"/>
        <w:contextualSpacing w:val="0"/>
        <w:rPr>
          <w:b/>
        </w:rPr>
      </w:pPr>
      <w:r w:rsidRPr="00570C38">
        <w:rPr>
          <w:bCs/>
        </w:rPr>
        <w:t>Approximately</w:t>
      </w:r>
      <w:r w:rsidRPr="009F7115">
        <w:rPr>
          <w:b/>
        </w:rPr>
        <w:t xml:space="preserve"> </w:t>
      </w:r>
      <w:r w:rsidR="00DA27C1">
        <w:rPr>
          <w:b/>
        </w:rPr>
        <w:t xml:space="preserve">868,700 </w:t>
      </w:r>
      <w:r w:rsidRPr="007F7B3F">
        <w:rPr>
          <w:bCs/>
        </w:rPr>
        <w:t>calls</w:t>
      </w:r>
      <w:r w:rsidRPr="00E84C36">
        <w:rPr>
          <w:bCs/>
        </w:rPr>
        <w:t xml:space="preserve"> h</w:t>
      </w:r>
      <w:r w:rsidRPr="005D31E0">
        <w:rPr>
          <w:bCs/>
        </w:rPr>
        <w:t>ad been made to the Scheme</w:t>
      </w:r>
      <w:r>
        <w:rPr>
          <w:bCs/>
        </w:rPr>
        <w:t>.</w:t>
      </w:r>
    </w:p>
    <w:p w14:paraId="27B374E1" w14:textId="77777777" w:rsidR="001D0461" w:rsidRDefault="001D0461" w:rsidP="001D0461">
      <w:pPr>
        <w:rPr>
          <w:b/>
        </w:rPr>
      </w:pPr>
      <w:r>
        <w:rPr>
          <w:bCs/>
        </w:rPr>
        <w:br w:type="page"/>
      </w:r>
    </w:p>
    <w:p w14:paraId="2A97A4B9" w14:textId="77777777" w:rsidR="001D0461" w:rsidRPr="002A1E90" w:rsidRDefault="001D0461" w:rsidP="001D0461">
      <w:pPr>
        <w:pStyle w:val="Heading2"/>
        <w:spacing w:after="120"/>
        <w:rPr>
          <w:sz w:val="28"/>
          <w:szCs w:val="28"/>
        </w:rPr>
      </w:pPr>
      <w:bookmarkStart w:id="17" w:name="_Toc230098688"/>
      <w:r w:rsidRPr="002A1E90">
        <w:rPr>
          <w:sz w:val="28"/>
          <w:szCs w:val="28"/>
        </w:rPr>
        <w:lastRenderedPageBreak/>
        <w:t>Priority Area 1: Survivor Experience</w:t>
      </w:r>
      <w:bookmarkEnd w:id="17"/>
    </w:p>
    <w:p w14:paraId="64108B93" w14:textId="6D4C1577" w:rsidR="001D0461" w:rsidRPr="00645684" w:rsidRDefault="001D0461" w:rsidP="00645684">
      <w:pPr>
        <w:pStyle w:val="Heading3"/>
        <w:spacing w:after="120"/>
        <w:rPr>
          <w:sz w:val="24"/>
          <w:szCs w:val="24"/>
        </w:rPr>
      </w:pPr>
      <w:bookmarkStart w:id="18" w:name="_Toc230098689"/>
      <w:r w:rsidRPr="00645684">
        <w:rPr>
          <w:sz w:val="24"/>
          <w:szCs w:val="24"/>
        </w:rPr>
        <w:t>1</w:t>
      </w:r>
      <w:r w:rsidR="000666E9" w:rsidRPr="00645684">
        <w:rPr>
          <w:sz w:val="24"/>
          <w:szCs w:val="24"/>
        </w:rPr>
        <w:t>a</w:t>
      </w:r>
      <w:r w:rsidRPr="00645684">
        <w:rPr>
          <w:sz w:val="24"/>
          <w:szCs w:val="24"/>
        </w:rPr>
        <w:t>. The Survivor Journey</w:t>
      </w:r>
      <w:bookmarkEnd w:id="18"/>
    </w:p>
    <w:p w14:paraId="69C78434" w14:textId="77777777" w:rsidR="001D0461" w:rsidRDefault="001D0461" w:rsidP="001D0461">
      <w:pPr>
        <w:rPr>
          <w:i/>
          <w:iCs/>
        </w:rPr>
      </w:pPr>
      <w:r w:rsidRPr="001F21AF">
        <w:rPr>
          <w:b/>
          <w:bCs/>
        </w:rPr>
        <w:t>Metric</w:t>
      </w:r>
      <w:r w:rsidRPr="00E63934">
        <w:rPr>
          <w:i/>
          <w:iCs/>
        </w:rPr>
        <w:t xml:space="preserve">: Survivor experience with the process of the Scheme, including Scheme responsiveness, degree of respectful, dignified, knowledgeable and trauma-informed interactions, ease of understanding, level of pro-activity, consistency of service quality. </w:t>
      </w:r>
    </w:p>
    <w:p w14:paraId="448ADD1A" w14:textId="4B9CEAE1" w:rsidR="00035F5E" w:rsidRPr="00D86067" w:rsidRDefault="00035F5E" w:rsidP="001D0461">
      <w:r w:rsidRPr="00D86067">
        <w:t>These success measures were incorporated into the Intergovernmental Agreement in July 2020 with reporting on these to occur every 6 months, beginning at the end of the second quarter 2020-2021. The first reporting period was 1 April 2020 – 31 September 2020.</w:t>
      </w:r>
    </w:p>
    <w:p w14:paraId="2627BE1F" w14:textId="77777777" w:rsidR="001D0461" w:rsidRPr="00BB10CB" w:rsidRDefault="001D0461" w:rsidP="001D0461">
      <w:pPr>
        <w:rPr>
          <w:iCs/>
        </w:rPr>
      </w:pPr>
      <w:r w:rsidRPr="00007564">
        <w:t>In 2020, the department engaged Where</w:t>
      </w:r>
      <w:r>
        <w:t xml:space="preserve"> </w:t>
      </w:r>
      <w:r w:rsidRPr="00007564">
        <w:t xml:space="preserve">to Research to develop a trauma-informed, safe, and respectful survey to report on the survivor journey. </w:t>
      </w:r>
      <w:r w:rsidRPr="009E78A5">
        <w:t>Applicants were invited to participate in the survey through their letter of offer. The survey collected</w:t>
      </w:r>
      <w:r w:rsidRPr="00007564">
        <w:t xml:space="preserve"> information about </w:t>
      </w:r>
      <w:r w:rsidRPr="00BB10CB">
        <w:rPr>
          <w:iCs/>
        </w:rPr>
        <w:t xml:space="preserve">applicants’ experiences with the Scheme. </w:t>
      </w:r>
    </w:p>
    <w:p w14:paraId="5DB56F12" w14:textId="77777777" w:rsidR="001D0461" w:rsidRDefault="001D0461" w:rsidP="001D0461">
      <w:pPr>
        <w:rPr>
          <w:iCs/>
        </w:rPr>
      </w:pPr>
      <w:r w:rsidRPr="00BB10CB">
        <w:rPr>
          <w:iCs/>
        </w:rPr>
        <w:t xml:space="preserve">The number of people who responded to the survey </w:t>
      </w:r>
      <w:r>
        <w:rPr>
          <w:iCs/>
        </w:rPr>
        <w:t>wa</w:t>
      </w:r>
      <w:r w:rsidRPr="00BB10CB">
        <w:rPr>
          <w:iCs/>
        </w:rPr>
        <w:t xml:space="preserve">s relatively small in proportion to </w:t>
      </w:r>
      <w:r>
        <w:rPr>
          <w:iCs/>
        </w:rPr>
        <w:t xml:space="preserve">the </w:t>
      </w:r>
      <w:proofErr w:type="gramStart"/>
      <w:r w:rsidRPr="006A0547">
        <w:rPr>
          <w:iCs/>
        </w:rPr>
        <w:t>amount</w:t>
      </w:r>
      <w:proofErr w:type="gramEnd"/>
      <w:r w:rsidRPr="006A0547">
        <w:rPr>
          <w:iCs/>
        </w:rPr>
        <w:t xml:space="preserve"> of applicants who</w:t>
      </w:r>
      <w:r w:rsidRPr="006A0547">
        <w:t xml:space="preserve"> received an outcome during that period. Nevertheless, the survey responses provided valuable information to </w:t>
      </w:r>
      <w:r w:rsidRPr="006A0547">
        <w:rPr>
          <w:rStyle w:val="jsgrdq"/>
          <w:color w:val="000000"/>
        </w:rPr>
        <w:t>help the Scheme identify trends over time and how survivors felt about</w:t>
      </w:r>
      <w:r w:rsidRPr="00007564">
        <w:rPr>
          <w:rStyle w:val="jsgrdq"/>
          <w:color w:val="000000"/>
        </w:rPr>
        <w:t xml:space="preserve"> their </w:t>
      </w:r>
      <w:r w:rsidRPr="00BB10CB">
        <w:rPr>
          <w:iCs/>
        </w:rPr>
        <w:t>interactions with the Scheme</w:t>
      </w:r>
      <w:r>
        <w:rPr>
          <w:iCs/>
        </w:rPr>
        <w:t xml:space="preserve">. </w:t>
      </w:r>
    </w:p>
    <w:p w14:paraId="12B2709B" w14:textId="77777777" w:rsidR="0043779E" w:rsidRPr="0043779E" w:rsidRDefault="0043779E" w:rsidP="0043779E">
      <w:pPr>
        <w:tabs>
          <w:tab w:val="left" w:pos="3769"/>
        </w:tabs>
        <w:spacing w:before="60" w:after="240"/>
      </w:pPr>
      <w:r w:rsidRPr="0043779E">
        <w:t>In the latest survey report, which covers responses received between August 2025 and January 2026, trends apparent in the survey responses include:</w:t>
      </w:r>
    </w:p>
    <w:p w14:paraId="629699E3" w14:textId="77777777" w:rsidR="0043779E" w:rsidRPr="0043779E" w:rsidRDefault="0043779E" w:rsidP="0043779E">
      <w:pPr>
        <w:numPr>
          <w:ilvl w:val="0"/>
          <w:numId w:val="14"/>
        </w:numPr>
        <w:tabs>
          <w:tab w:val="left" w:pos="3769"/>
        </w:tabs>
        <w:spacing w:before="60" w:after="240"/>
      </w:pPr>
      <w:r w:rsidRPr="0043779E">
        <w:t>Feedback continues to be largely positive</w:t>
      </w:r>
    </w:p>
    <w:p w14:paraId="469A806B" w14:textId="77777777" w:rsidR="0043779E" w:rsidRPr="0043779E" w:rsidRDefault="0043779E" w:rsidP="0043779E">
      <w:pPr>
        <w:numPr>
          <w:ilvl w:val="0"/>
          <w:numId w:val="14"/>
        </w:numPr>
        <w:tabs>
          <w:tab w:val="left" w:pos="3769"/>
        </w:tabs>
        <w:spacing w:before="60" w:after="240"/>
      </w:pPr>
      <w:r w:rsidRPr="0043779E">
        <w:t xml:space="preserve">88% of respondents found Scheme staff to be helpful and respectful </w:t>
      </w:r>
    </w:p>
    <w:p w14:paraId="3B8E0DFC" w14:textId="5B097E77" w:rsidR="0043779E" w:rsidRPr="0043779E" w:rsidRDefault="0043779E" w:rsidP="0043779E">
      <w:pPr>
        <w:numPr>
          <w:ilvl w:val="0"/>
          <w:numId w:val="14"/>
        </w:numPr>
        <w:tabs>
          <w:tab w:val="left" w:pos="3769"/>
        </w:tabs>
        <w:spacing w:before="60" w:after="240"/>
      </w:pPr>
      <w:r w:rsidRPr="0043779E">
        <w:t xml:space="preserve">The ease of contacting the </w:t>
      </w:r>
      <w:r w:rsidR="00FE7F35">
        <w:t>Scheme</w:t>
      </w:r>
      <w:r w:rsidRPr="0043779E">
        <w:t xml:space="preserve"> team has reached its highest recorded level</w:t>
      </w:r>
      <w:r w:rsidR="00FE7F35">
        <w:t xml:space="preserve"> of </w:t>
      </w:r>
      <w:r w:rsidRPr="0043779E">
        <w:t xml:space="preserve">83%, reflecting strong improvement and positive engagement with staff. </w:t>
      </w:r>
    </w:p>
    <w:p w14:paraId="53BB3F9B" w14:textId="77777777" w:rsidR="0043779E" w:rsidRPr="0043779E" w:rsidRDefault="0043779E" w:rsidP="0043779E">
      <w:pPr>
        <w:numPr>
          <w:ilvl w:val="0"/>
          <w:numId w:val="14"/>
        </w:numPr>
        <w:tabs>
          <w:tab w:val="left" w:pos="3769"/>
        </w:tabs>
        <w:spacing w:before="60" w:after="240"/>
      </w:pPr>
      <w:r w:rsidRPr="0043779E">
        <w:t>The quality of respondents’ interactions with NRS staff remains consistently high, with verbatim comments praising staff professionalism, empathy, and trauma-informed approach</w:t>
      </w:r>
    </w:p>
    <w:p w14:paraId="51840CF3" w14:textId="77777777" w:rsidR="0043779E" w:rsidRPr="0043779E" w:rsidRDefault="0043779E" w:rsidP="0043779E">
      <w:pPr>
        <w:numPr>
          <w:ilvl w:val="0"/>
          <w:numId w:val="14"/>
        </w:numPr>
        <w:tabs>
          <w:tab w:val="left" w:pos="3769"/>
        </w:tabs>
        <w:spacing w:before="60" w:after="240"/>
      </w:pPr>
      <w:r w:rsidRPr="0043779E">
        <w:t>Perceptions of privacy protection have generally been high across reporting periods. The latest result 90% represents a rebound from the low of 81% in the previous reporting period.</w:t>
      </w:r>
    </w:p>
    <w:p w14:paraId="42E7EA59" w14:textId="72D7CC6C" w:rsidR="0043779E" w:rsidRPr="0043779E" w:rsidRDefault="0043779E" w:rsidP="00D86067">
      <w:pPr>
        <w:numPr>
          <w:ilvl w:val="0"/>
          <w:numId w:val="14"/>
        </w:numPr>
        <w:tabs>
          <w:tab w:val="left" w:pos="3769"/>
        </w:tabs>
        <w:spacing w:before="60" w:after="240"/>
      </w:pPr>
      <w:r w:rsidRPr="0043779E">
        <w:t xml:space="preserve">Perceptions of time taken by the NRS to </w:t>
      </w:r>
      <w:proofErr w:type="gramStart"/>
      <w:r w:rsidRPr="0043779E">
        <w:t>make a decision</w:t>
      </w:r>
      <w:proofErr w:type="gramEnd"/>
      <w:r w:rsidRPr="0043779E">
        <w:t xml:space="preserve"> have declined over time to a low of 31% in the latest reporting period.</w:t>
      </w:r>
    </w:p>
    <w:p w14:paraId="5DF8EE99" w14:textId="1B2D1AA1" w:rsidR="001D0461" w:rsidRDefault="001D0461" w:rsidP="001D0461">
      <w:pPr>
        <w:spacing w:before="60" w:after="60"/>
      </w:pPr>
      <w:r w:rsidRPr="00C6457C">
        <w:t>Apart from the survivor survey, the Scheme receive</w:t>
      </w:r>
      <w:r>
        <w:t>s</w:t>
      </w:r>
      <w:r w:rsidRPr="00C6457C">
        <w:t xml:space="preserve"> feedback from survivors and other stakeholders through other avenues, including the </w:t>
      </w:r>
      <w:r w:rsidR="0043779E">
        <w:t>S</w:t>
      </w:r>
      <w:r w:rsidRPr="00C6457C">
        <w:t xml:space="preserve">urvivor </w:t>
      </w:r>
      <w:r w:rsidR="0043779E">
        <w:t>R</w:t>
      </w:r>
      <w:r w:rsidRPr="00C6457C">
        <w:t>oundtable, correspondence</w:t>
      </w:r>
      <w:r>
        <w:t xml:space="preserve"> and </w:t>
      </w:r>
      <w:r w:rsidRPr="00C6457C">
        <w:t>project specific consultation.</w:t>
      </w:r>
    </w:p>
    <w:p w14:paraId="31E658B2" w14:textId="77777777" w:rsidR="001D0461" w:rsidRDefault="001D0461" w:rsidP="001D0461">
      <w:pPr>
        <w:spacing w:before="60" w:after="60"/>
      </w:pPr>
    </w:p>
    <w:p w14:paraId="404F9939" w14:textId="77777777" w:rsidR="00DC3A60" w:rsidRDefault="00DC3A60" w:rsidP="001D0461">
      <w:pPr>
        <w:spacing w:before="60" w:after="60"/>
      </w:pPr>
    </w:p>
    <w:p w14:paraId="7038020D" w14:textId="12439F03" w:rsidR="001D0461" w:rsidRPr="00E82016" w:rsidRDefault="001D0461" w:rsidP="00645684">
      <w:pPr>
        <w:pStyle w:val="Heading3"/>
        <w:spacing w:after="120"/>
        <w:rPr>
          <w:b w:val="0"/>
          <w:bCs w:val="0"/>
          <w:sz w:val="24"/>
          <w:szCs w:val="24"/>
        </w:rPr>
      </w:pPr>
      <w:bookmarkStart w:id="19" w:name="_Toc230098690"/>
      <w:r w:rsidRPr="00E82016">
        <w:rPr>
          <w:sz w:val="24"/>
          <w:szCs w:val="24"/>
        </w:rPr>
        <w:lastRenderedPageBreak/>
        <w:t>1</w:t>
      </w:r>
      <w:r w:rsidR="000666E9" w:rsidRPr="00645684">
        <w:rPr>
          <w:sz w:val="24"/>
          <w:szCs w:val="24"/>
        </w:rPr>
        <w:t>b</w:t>
      </w:r>
      <w:r w:rsidR="000666E9">
        <w:rPr>
          <w:b w:val="0"/>
          <w:bCs w:val="0"/>
          <w:sz w:val="24"/>
          <w:szCs w:val="24"/>
        </w:rPr>
        <w:t xml:space="preserve">. </w:t>
      </w:r>
      <w:r w:rsidRPr="00E82016">
        <w:rPr>
          <w:sz w:val="24"/>
          <w:szCs w:val="24"/>
        </w:rPr>
        <w:t>Advance Payment</w:t>
      </w:r>
      <w:bookmarkEnd w:id="19"/>
    </w:p>
    <w:p w14:paraId="2FB3ADD3" w14:textId="77777777" w:rsidR="001D0461" w:rsidRDefault="001D0461" w:rsidP="001D0461">
      <w:pPr>
        <w:rPr>
          <w:i/>
          <w:iCs/>
        </w:rPr>
      </w:pPr>
      <w:r w:rsidRPr="006A0547">
        <w:rPr>
          <w:b/>
          <w:bCs/>
        </w:rPr>
        <w:t>Metric</w:t>
      </w:r>
      <w:r w:rsidRPr="006A0547">
        <w:rPr>
          <w:i/>
          <w:iCs/>
        </w:rPr>
        <w:t>: The Scheme will issue ≥80% of eligible</w:t>
      </w:r>
      <w:r w:rsidRPr="00E63934">
        <w:rPr>
          <w:i/>
          <w:iCs/>
        </w:rPr>
        <w:t xml:space="preserve"> survivors with an advance payment within 7</w:t>
      </w:r>
      <w:r>
        <w:rPr>
          <w:i/>
          <w:iCs/>
        </w:rPr>
        <w:t> </w:t>
      </w:r>
      <w:r w:rsidRPr="00E63934">
        <w:rPr>
          <w:i/>
          <w:iCs/>
        </w:rPr>
        <w:t xml:space="preserve">days of receiving acceptance documentation. </w:t>
      </w:r>
    </w:p>
    <w:p w14:paraId="1B20504C" w14:textId="77777777" w:rsidR="001D0461" w:rsidRPr="006A0547" w:rsidRDefault="001D0461" w:rsidP="001D0461">
      <w:pPr>
        <w:rPr>
          <w:i/>
          <w:iCs/>
        </w:rPr>
      </w:pPr>
      <w:r w:rsidRPr="006A0547">
        <w:rPr>
          <w:bCs/>
        </w:rPr>
        <w:t>The</w:t>
      </w:r>
      <w:r w:rsidRPr="006A0547">
        <w:rPr>
          <w:rFonts w:cs="Arial"/>
        </w:rPr>
        <w:t xml:space="preserve"> legislative amendments introduced advance payments in October 2021. As such, figure 2 only captures data from the 2022-23 financial year onwards. </w:t>
      </w:r>
    </w:p>
    <w:p w14:paraId="41B52284" w14:textId="2C636044" w:rsidR="001D0461" w:rsidRDefault="001D0461" w:rsidP="001D0461">
      <w:pPr>
        <w:spacing w:line="240" w:lineRule="auto"/>
        <w:rPr>
          <w:bCs/>
        </w:rPr>
      </w:pPr>
      <w:r w:rsidRPr="006A0547">
        <w:rPr>
          <w:bCs/>
        </w:rPr>
        <w:t xml:space="preserve">The following data was accurate as </w:t>
      </w:r>
      <w:proofErr w:type="gramStart"/>
      <w:r w:rsidRPr="006A0547">
        <w:rPr>
          <w:bCs/>
        </w:rPr>
        <w:t>at</w:t>
      </w:r>
      <w:proofErr w:type="gramEnd"/>
      <w:r w:rsidRPr="006A0547">
        <w:rPr>
          <w:bCs/>
        </w:rPr>
        <w:t xml:space="preserve"> 3</w:t>
      </w:r>
      <w:r w:rsidR="00835DDA" w:rsidRPr="006A0547">
        <w:rPr>
          <w:bCs/>
        </w:rPr>
        <w:t>1 December</w:t>
      </w:r>
      <w:r w:rsidRPr="006A0547">
        <w:rPr>
          <w:bCs/>
        </w:rPr>
        <w:t xml:space="preserve"> 2025 and shows how the Scheme ha</w:t>
      </w:r>
      <w:r w:rsidR="00870AC8">
        <w:rPr>
          <w:bCs/>
        </w:rPr>
        <w:t>s</w:t>
      </w:r>
      <w:r w:rsidRPr="006A0547">
        <w:rPr>
          <w:bCs/>
        </w:rPr>
        <w:t xml:space="preserve"> delivered on the Advance Payment metric.</w:t>
      </w:r>
      <w:r>
        <w:rPr>
          <w:bCs/>
        </w:rPr>
        <w:t xml:space="preserve"> </w:t>
      </w:r>
    </w:p>
    <w:p w14:paraId="5CF9F08D" w14:textId="1BDF8A39" w:rsidR="001D0461" w:rsidRDefault="001D0461" w:rsidP="006A0547">
      <w:pPr>
        <w:spacing w:after="0" w:line="240" w:lineRule="auto"/>
        <w:rPr>
          <w:bCs/>
        </w:rPr>
      </w:pPr>
      <w:r w:rsidRPr="006A0547">
        <w:rPr>
          <w:b/>
        </w:rPr>
        <w:t xml:space="preserve">Figure </w:t>
      </w:r>
      <w:r w:rsidR="00142458">
        <w:rPr>
          <w:b/>
        </w:rPr>
        <w:t>1</w:t>
      </w:r>
      <w:r w:rsidRPr="006A0547">
        <w:rPr>
          <w:b/>
        </w:rPr>
        <w:t xml:space="preserve"> </w:t>
      </w:r>
      <w:r w:rsidRPr="006A0547">
        <w:rPr>
          <w:bCs/>
        </w:rPr>
        <w:t>-</w:t>
      </w:r>
      <w:r w:rsidRPr="002A0290">
        <w:rPr>
          <w:bCs/>
        </w:rPr>
        <w:t xml:space="preserve"> Percentage of Advance Payments Issued within 7 Days of Receiving Acceptance Documents</w:t>
      </w:r>
    </w:p>
    <w:p w14:paraId="7B8E3FD0" w14:textId="75C9C087" w:rsidR="001D0461" w:rsidRDefault="006A0547" w:rsidP="001D0461">
      <w:pPr>
        <w:spacing w:line="240" w:lineRule="auto"/>
        <w:rPr>
          <w:sz w:val="23"/>
          <w:szCs w:val="23"/>
        </w:rPr>
      </w:pPr>
      <w:r>
        <w:rPr>
          <w:noProof/>
          <w14:ligatures w14:val="standardContextual"/>
        </w:rPr>
        <w:drawing>
          <wp:inline distT="0" distB="0" distL="0" distR="0" wp14:anchorId="57EBF4A7" wp14:editId="4EEF0FA1">
            <wp:extent cx="5731510" cy="2668905"/>
            <wp:effectExtent l="0" t="0" r="2540" b="17145"/>
            <wp:docPr id="1168002644" name="Chart 1" descr="Chart of advance payments within 7 days. Results from 2022-23 are displayed and all are above the target of 80%.">
              <a:extLst xmlns:a="http://schemas.openxmlformats.org/drawingml/2006/main">
                <a:ext uri="{FF2B5EF4-FFF2-40B4-BE49-F238E27FC236}">
                  <a16:creationId xmlns:a16="http://schemas.microsoft.com/office/drawing/2014/main" id="{B65ED823-86AC-4FE7-B6A7-7353C29049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B3312AA" w14:textId="77777777" w:rsidR="001D0461" w:rsidRDefault="001D0461" w:rsidP="001D0461">
      <w:pPr>
        <w:spacing w:line="240" w:lineRule="auto"/>
        <w:rPr>
          <w:sz w:val="23"/>
          <w:szCs w:val="23"/>
        </w:rPr>
      </w:pPr>
      <w:r w:rsidRPr="00A10DCD">
        <w:rPr>
          <w:sz w:val="23"/>
          <w:szCs w:val="23"/>
        </w:rPr>
        <w:t>Result</w:t>
      </w:r>
      <w:r>
        <w:rPr>
          <w:sz w:val="23"/>
          <w:szCs w:val="23"/>
        </w:rPr>
        <w:t xml:space="preserve">: </w:t>
      </w:r>
    </w:p>
    <w:p w14:paraId="115FC03A" w14:textId="77777777" w:rsidR="001D0461" w:rsidRPr="006A0547" w:rsidRDefault="001D0461" w:rsidP="001D0461">
      <w:pPr>
        <w:pStyle w:val="ListParagraph"/>
        <w:numPr>
          <w:ilvl w:val="0"/>
          <w:numId w:val="6"/>
        </w:numPr>
        <w:spacing w:before="60" w:after="240"/>
      </w:pPr>
      <w:r w:rsidRPr="006A0547">
        <w:t>95% of advance payments were made within 7 days in 2022-23</w:t>
      </w:r>
    </w:p>
    <w:p w14:paraId="215E3AF4" w14:textId="77777777" w:rsidR="001D0461" w:rsidRPr="006A0547" w:rsidRDefault="001D0461" w:rsidP="001D0461">
      <w:pPr>
        <w:pStyle w:val="ListParagraph"/>
        <w:numPr>
          <w:ilvl w:val="0"/>
          <w:numId w:val="6"/>
        </w:numPr>
        <w:spacing w:before="60" w:after="240"/>
      </w:pPr>
      <w:r w:rsidRPr="006A0547">
        <w:t>95% of advance payments were made within 7 days in 2023-24</w:t>
      </w:r>
    </w:p>
    <w:p w14:paraId="370859DD" w14:textId="7D3B7BE9" w:rsidR="001D0461" w:rsidRPr="006A0547" w:rsidRDefault="001D0461" w:rsidP="001D0461">
      <w:pPr>
        <w:pStyle w:val="ListParagraph"/>
        <w:numPr>
          <w:ilvl w:val="0"/>
          <w:numId w:val="6"/>
        </w:numPr>
        <w:spacing w:before="60" w:after="240"/>
      </w:pPr>
      <w:r w:rsidRPr="006A0547">
        <w:t>9</w:t>
      </w:r>
      <w:r w:rsidR="00F7076A" w:rsidRPr="006A0547">
        <w:t>3</w:t>
      </w:r>
      <w:r w:rsidRPr="006A0547">
        <w:t>% of advance payments were made within 7 days in 2024-25.</w:t>
      </w:r>
    </w:p>
    <w:p w14:paraId="593208BB" w14:textId="302FB984" w:rsidR="00D7186F" w:rsidRPr="006A0547" w:rsidRDefault="00D7186F" w:rsidP="001D0461">
      <w:pPr>
        <w:pStyle w:val="ListParagraph"/>
        <w:numPr>
          <w:ilvl w:val="0"/>
          <w:numId w:val="6"/>
        </w:numPr>
        <w:spacing w:before="60" w:after="240"/>
      </w:pPr>
      <w:r w:rsidRPr="006A0547">
        <w:t>95% of advance payments were made within 7 days in 2025-26.</w:t>
      </w:r>
    </w:p>
    <w:p w14:paraId="566C481A" w14:textId="77777777" w:rsidR="001D0461" w:rsidRPr="006309E9" w:rsidRDefault="001D0461" w:rsidP="001D0461">
      <w:pPr>
        <w:spacing w:line="240" w:lineRule="auto"/>
        <w:rPr>
          <w:noProof/>
        </w:rPr>
      </w:pPr>
      <w:r w:rsidRPr="00700692">
        <w:rPr>
          <w:rFonts w:eastAsiaTheme="majorEastAsia" w:cstheme="majorBidi"/>
          <w:iCs/>
        </w:rPr>
        <w:t>The above data indicate</w:t>
      </w:r>
      <w:r>
        <w:rPr>
          <w:rFonts w:eastAsiaTheme="majorEastAsia" w:cstheme="majorBidi"/>
          <w:iCs/>
        </w:rPr>
        <w:t>s</w:t>
      </w:r>
      <w:r w:rsidRPr="00700692">
        <w:rPr>
          <w:rFonts w:eastAsiaTheme="majorEastAsia" w:cstheme="majorBidi"/>
          <w:iCs/>
        </w:rPr>
        <w:t xml:space="preserve"> that the Scheme de</w:t>
      </w:r>
      <w:r w:rsidRPr="00700692">
        <w:rPr>
          <w:rFonts w:eastAsiaTheme="majorEastAsia" w:cstheme="majorBidi"/>
          <w:iCs/>
        </w:rPr>
        <w:fldChar w:fldCharType="begin"/>
      </w:r>
      <w:r w:rsidRPr="00700692">
        <w:rPr>
          <w:rFonts w:eastAsiaTheme="majorEastAsia" w:cstheme="majorBidi"/>
          <w:iCs/>
        </w:rPr>
        <w:instrText xml:space="preserve"> TOC \h \z \c "Figure" </w:instrText>
      </w:r>
      <w:r w:rsidRPr="00700692">
        <w:rPr>
          <w:rFonts w:eastAsiaTheme="majorEastAsia" w:cstheme="majorBidi"/>
          <w:iCs/>
        </w:rPr>
        <w:fldChar w:fldCharType="separate"/>
      </w:r>
      <w:r w:rsidRPr="00700692">
        <w:rPr>
          <w:rFonts w:eastAsiaTheme="majorEastAsia" w:cstheme="majorBidi"/>
          <w:iCs/>
        </w:rPr>
        <w:fldChar w:fldCharType="end"/>
      </w:r>
      <w:r w:rsidRPr="00700692">
        <w:rPr>
          <w:rFonts w:eastAsiaTheme="majorEastAsia" w:cstheme="majorBidi"/>
          <w:iCs/>
        </w:rPr>
        <w:t>livered on this metric.</w:t>
      </w:r>
      <w:r w:rsidRPr="009A073C">
        <w:rPr>
          <w:rFonts w:asciiTheme="minorHAnsi" w:eastAsiaTheme="minorEastAsia" w:hAnsi="Times New Roman"/>
          <w:b/>
          <w:bCs/>
          <w:kern w:val="24"/>
          <w:lang w:eastAsia="en-AU"/>
        </w:rPr>
        <w:t xml:space="preserve"> </w:t>
      </w:r>
      <w:r>
        <w:rPr>
          <w:rFonts w:asciiTheme="minorHAnsi" w:eastAsiaTheme="minorEastAsia" w:hAnsi="Times New Roman"/>
          <w:b/>
          <w:bCs/>
          <w:kern w:val="24"/>
          <w:lang w:eastAsia="en-AU"/>
        </w:rPr>
        <w:br w:type="page"/>
      </w:r>
    </w:p>
    <w:p w14:paraId="1316FEF7" w14:textId="49FC2F56" w:rsidR="001D0461" w:rsidRDefault="001D0461" w:rsidP="001D0461">
      <w:pPr>
        <w:pStyle w:val="Heading3"/>
        <w:spacing w:after="120"/>
        <w:rPr>
          <w:sz w:val="24"/>
          <w:szCs w:val="24"/>
        </w:rPr>
      </w:pPr>
      <w:bookmarkStart w:id="20" w:name="_Toc230098691"/>
      <w:r w:rsidRPr="00960C2F">
        <w:rPr>
          <w:sz w:val="24"/>
          <w:szCs w:val="24"/>
        </w:rPr>
        <w:lastRenderedPageBreak/>
        <w:t>1</w:t>
      </w:r>
      <w:r w:rsidR="000666E9">
        <w:rPr>
          <w:sz w:val="24"/>
          <w:szCs w:val="24"/>
        </w:rPr>
        <w:t>c</w:t>
      </w:r>
      <w:r w:rsidRPr="00960C2F">
        <w:rPr>
          <w:sz w:val="24"/>
          <w:szCs w:val="24"/>
        </w:rPr>
        <w:t xml:space="preserve">. </w:t>
      </w:r>
      <w:r>
        <w:rPr>
          <w:sz w:val="24"/>
          <w:szCs w:val="24"/>
        </w:rPr>
        <w:t>Redress Payment</w:t>
      </w:r>
      <w:bookmarkEnd w:id="20"/>
    </w:p>
    <w:p w14:paraId="74400452" w14:textId="77777777" w:rsidR="001D0461" w:rsidRPr="006A0547" w:rsidRDefault="001D0461" w:rsidP="001D0461">
      <w:pPr>
        <w:rPr>
          <w:i/>
          <w:iCs/>
        </w:rPr>
      </w:pPr>
      <w:r w:rsidRPr="001F21AF">
        <w:rPr>
          <w:b/>
          <w:bCs/>
        </w:rPr>
        <w:t>Metric</w:t>
      </w:r>
      <w:r w:rsidRPr="00A10DCD">
        <w:rPr>
          <w:i/>
          <w:iCs/>
        </w:rPr>
        <w:t xml:space="preserve">: The Scheme will </w:t>
      </w:r>
      <w:r w:rsidRPr="006A0547">
        <w:rPr>
          <w:i/>
          <w:iCs/>
        </w:rPr>
        <w:t xml:space="preserve">issue ≥80% of eligible survivors with a redress payment within 14 days of receiving acceptance documentation. </w:t>
      </w:r>
    </w:p>
    <w:p w14:paraId="56F2BFA4" w14:textId="6938032B" w:rsidR="001D0461" w:rsidRPr="006A0547" w:rsidRDefault="001D0461" w:rsidP="001D0461">
      <w:r w:rsidRPr="006A0547">
        <w:t xml:space="preserve">The following data was accurate as </w:t>
      </w:r>
      <w:proofErr w:type="gramStart"/>
      <w:r w:rsidRPr="006A0547">
        <w:t>at</w:t>
      </w:r>
      <w:proofErr w:type="gramEnd"/>
      <w:r w:rsidRPr="006A0547">
        <w:t xml:space="preserve"> 3</w:t>
      </w:r>
      <w:r w:rsidR="004E1EEE">
        <w:t>1</w:t>
      </w:r>
      <w:r w:rsidRPr="006A0547">
        <w:t xml:space="preserve"> </w:t>
      </w:r>
      <w:r w:rsidR="00835DDA" w:rsidRPr="006A0547">
        <w:t>December</w:t>
      </w:r>
      <w:r w:rsidRPr="006A0547">
        <w:t xml:space="preserve"> 2025 and captures</w:t>
      </w:r>
      <w:r>
        <w:t xml:space="preserve"> how the Scheme had delivered on </w:t>
      </w:r>
      <w:r w:rsidRPr="006A0547">
        <w:t>the Redress Payment metric each financial year from 201</w:t>
      </w:r>
      <w:r w:rsidR="004E1EEE">
        <w:t>9</w:t>
      </w:r>
      <w:r w:rsidRPr="006A0547">
        <w:t>-</w:t>
      </w:r>
      <w:r w:rsidR="004E1EEE">
        <w:t>20.</w:t>
      </w:r>
    </w:p>
    <w:p w14:paraId="39AEC82D" w14:textId="7C19A916" w:rsidR="001D0461" w:rsidRDefault="001D0461" w:rsidP="006A0547">
      <w:pPr>
        <w:spacing w:after="0"/>
      </w:pPr>
      <w:bookmarkStart w:id="21" w:name="_Toc167874186"/>
      <w:bookmarkStart w:id="22" w:name="_Toc167874367"/>
      <w:bookmarkStart w:id="23" w:name="_Toc167878842"/>
      <w:bookmarkStart w:id="24" w:name="_Toc167879040"/>
      <w:r w:rsidRPr="006A0547">
        <w:rPr>
          <w:b/>
          <w:bCs/>
        </w:rPr>
        <w:t xml:space="preserve">Figure </w:t>
      </w:r>
      <w:r w:rsidR="00142458">
        <w:rPr>
          <w:b/>
          <w:bCs/>
        </w:rPr>
        <w:t>2</w:t>
      </w:r>
      <w:r w:rsidRPr="006A0547">
        <w:t>- Percentage</w:t>
      </w:r>
      <w:r w:rsidRPr="00F23490">
        <w:t xml:space="preserve"> of Payments Issued within 14 Days of Receiving Acceptance Documents</w:t>
      </w:r>
      <w:bookmarkEnd w:id="21"/>
      <w:bookmarkEnd w:id="22"/>
      <w:bookmarkEnd w:id="23"/>
      <w:bookmarkEnd w:id="24"/>
      <w:r>
        <w:t xml:space="preserve">. </w:t>
      </w:r>
    </w:p>
    <w:p w14:paraId="014238C6" w14:textId="4B57B126" w:rsidR="001D0461" w:rsidRDefault="006A0547" w:rsidP="001D0461">
      <w:pPr>
        <w:rPr>
          <w:bCs/>
        </w:rPr>
      </w:pPr>
      <w:r>
        <w:rPr>
          <w:noProof/>
          <w14:ligatures w14:val="standardContextual"/>
        </w:rPr>
        <w:drawing>
          <wp:inline distT="0" distB="0" distL="0" distR="0" wp14:anchorId="7E33D2F2" wp14:editId="1FD12584">
            <wp:extent cx="5598008" cy="2783449"/>
            <wp:effectExtent l="0" t="0" r="3175" b="17145"/>
            <wp:docPr id="1459909311" name="Chart 1" descr="Chart of Redress payments issued within 14 days by financial year. 7 years results are charted, and all are above the target of 80%.">
              <a:extLst xmlns:a="http://schemas.openxmlformats.org/drawingml/2006/main">
                <a:ext uri="{FF2B5EF4-FFF2-40B4-BE49-F238E27FC236}">
                  <a16:creationId xmlns:a16="http://schemas.microsoft.com/office/drawing/2014/main" id="{C4658FF0-38E6-47C6-91DD-FF348FCC27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488AFE9" w14:textId="77777777" w:rsidR="001D0461" w:rsidRPr="006A0547" w:rsidRDefault="001D0461" w:rsidP="001D0461">
      <w:r w:rsidRPr="006A0547">
        <w:rPr>
          <w:bCs/>
        </w:rPr>
        <w:t xml:space="preserve">Results: </w:t>
      </w:r>
    </w:p>
    <w:p w14:paraId="6AD16F62" w14:textId="77777777"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99% of redress payments made within 14 days in 2019-20</w:t>
      </w:r>
    </w:p>
    <w:p w14:paraId="7FAB03ED" w14:textId="77777777"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97% of redress payments made within 14 days in 2020-21</w:t>
      </w:r>
    </w:p>
    <w:p w14:paraId="5EC288B7" w14:textId="77777777"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 xml:space="preserve">91% of redress payments made within 14 days in 2021-22 </w:t>
      </w:r>
    </w:p>
    <w:p w14:paraId="6803CACA" w14:textId="77777777"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95% of redress payments made within 14 days in 2022-23</w:t>
      </w:r>
    </w:p>
    <w:p w14:paraId="7487A050" w14:textId="77777777"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94% of redress payments made within 14 days in 2023-24</w:t>
      </w:r>
    </w:p>
    <w:p w14:paraId="121E23B6" w14:textId="40BD692E" w:rsidR="001D0461" w:rsidRPr="006A0547" w:rsidRDefault="001D0461" w:rsidP="001D0461">
      <w:pPr>
        <w:pStyle w:val="ListParagraph"/>
        <w:numPr>
          <w:ilvl w:val="0"/>
          <w:numId w:val="5"/>
        </w:numPr>
        <w:rPr>
          <w:rFonts w:eastAsiaTheme="majorEastAsia" w:cstheme="majorBidi"/>
          <w:bCs/>
          <w:iCs/>
        </w:rPr>
      </w:pPr>
      <w:r w:rsidRPr="006A0547">
        <w:rPr>
          <w:rFonts w:eastAsiaTheme="majorEastAsia" w:cstheme="majorBidi"/>
          <w:bCs/>
          <w:iCs/>
        </w:rPr>
        <w:t>9</w:t>
      </w:r>
      <w:r w:rsidR="00F7076A" w:rsidRPr="006A0547">
        <w:rPr>
          <w:rFonts w:eastAsiaTheme="majorEastAsia" w:cstheme="majorBidi"/>
          <w:bCs/>
          <w:iCs/>
        </w:rPr>
        <w:t>2</w:t>
      </w:r>
      <w:r w:rsidRPr="006A0547">
        <w:rPr>
          <w:rFonts w:eastAsiaTheme="majorEastAsia" w:cstheme="majorBidi"/>
          <w:bCs/>
          <w:iCs/>
        </w:rPr>
        <w:t>% of redress payments made within 14 days in 2024-25</w:t>
      </w:r>
    </w:p>
    <w:p w14:paraId="5FE13F5C" w14:textId="634DBAED" w:rsidR="00CC59D6" w:rsidRPr="006A0547" w:rsidRDefault="00CC59D6" w:rsidP="001D0461">
      <w:pPr>
        <w:pStyle w:val="ListParagraph"/>
        <w:numPr>
          <w:ilvl w:val="0"/>
          <w:numId w:val="5"/>
        </w:numPr>
        <w:rPr>
          <w:rFonts w:eastAsiaTheme="majorEastAsia" w:cstheme="majorBidi"/>
          <w:bCs/>
          <w:iCs/>
        </w:rPr>
      </w:pPr>
      <w:r w:rsidRPr="006A0547">
        <w:rPr>
          <w:rFonts w:eastAsiaTheme="majorEastAsia" w:cstheme="majorBidi"/>
          <w:bCs/>
          <w:iCs/>
        </w:rPr>
        <w:t>98% of redress payments made within14 days in 2025-26</w:t>
      </w:r>
      <w:r w:rsidR="000A5206" w:rsidRPr="006A0547">
        <w:rPr>
          <w:rFonts w:eastAsiaTheme="majorEastAsia" w:cstheme="majorBidi"/>
          <w:bCs/>
          <w:iCs/>
        </w:rPr>
        <w:t xml:space="preserve"> (to date).</w:t>
      </w:r>
    </w:p>
    <w:p w14:paraId="294CC054" w14:textId="77777777" w:rsidR="001D0461" w:rsidRPr="00A10DCD" w:rsidRDefault="001D0461" w:rsidP="001D0461">
      <w:pPr>
        <w:rPr>
          <w:rFonts w:eastAsiaTheme="majorEastAsia" w:cstheme="majorBidi"/>
          <w:bCs/>
          <w:iCs/>
        </w:rPr>
      </w:pPr>
      <w:r>
        <w:t>The above data indicates the Scheme consistently delivered on this metric.</w:t>
      </w:r>
    </w:p>
    <w:p w14:paraId="007B2DBD" w14:textId="77777777" w:rsidR="001D0461" w:rsidRDefault="001D0461" w:rsidP="001D0461">
      <w:pPr>
        <w:rPr>
          <w:rFonts w:eastAsiaTheme="majorEastAsia" w:cstheme="majorBidi"/>
          <w:bCs/>
          <w:iCs/>
        </w:rPr>
      </w:pPr>
      <w:r>
        <w:rPr>
          <w:rFonts w:eastAsiaTheme="majorEastAsia" w:cstheme="majorBidi"/>
          <w:bCs/>
          <w:iCs/>
        </w:rPr>
        <w:br w:type="page"/>
      </w:r>
    </w:p>
    <w:p w14:paraId="25D09720" w14:textId="6F3ABBBF" w:rsidR="000666E9" w:rsidRPr="00F85FCF" w:rsidRDefault="000666E9" w:rsidP="000666E9">
      <w:pPr>
        <w:pStyle w:val="Heading3"/>
        <w:spacing w:after="120"/>
        <w:rPr>
          <w:sz w:val="24"/>
          <w:szCs w:val="24"/>
        </w:rPr>
      </w:pPr>
      <w:bookmarkStart w:id="25" w:name="_Toc230098692"/>
      <w:r w:rsidRPr="00F85FCF">
        <w:rPr>
          <w:sz w:val="24"/>
          <w:szCs w:val="24"/>
        </w:rPr>
        <w:lastRenderedPageBreak/>
        <w:t>1</w:t>
      </w:r>
      <w:r>
        <w:rPr>
          <w:sz w:val="24"/>
          <w:szCs w:val="24"/>
        </w:rPr>
        <w:t>d</w:t>
      </w:r>
      <w:r w:rsidRPr="00F85FCF">
        <w:rPr>
          <w:sz w:val="24"/>
          <w:szCs w:val="24"/>
        </w:rPr>
        <w:t>. Application Timeliness</w:t>
      </w:r>
      <w:bookmarkEnd w:id="25"/>
    </w:p>
    <w:p w14:paraId="4E4268A3" w14:textId="77777777" w:rsidR="000666E9" w:rsidRPr="00F85FCF" w:rsidRDefault="000666E9" w:rsidP="000666E9">
      <w:pPr>
        <w:rPr>
          <w:i/>
          <w:iCs/>
        </w:rPr>
      </w:pPr>
      <w:r w:rsidRPr="00F85FCF">
        <w:rPr>
          <w:b/>
          <w:bCs/>
        </w:rPr>
        <w:t>Metric</w:t>
      </w:r>
      <w:r w:rsidRPr="00F85FCF">
        <w:rPr>
          <w:i/>
          <w:iCs/>
        </w:rPr>
        <w:t>: At least 75% of applications that name institutions that participate in the National Redress Scheme (Scheme) will have a decision communicated to the applicant within 6 months of all necessary information being received by the Scheme</w:t>
      </w:r>
      <w:r w:rsidRPr="00F85FCF">
        <w:rPr>
          <w:rStyle w:val="FootnoteReference"/>
          <w:i/>
          <w:iCs/>
        </w:rPr>
        <w:footnoteReference w:id="2"/>
      </w:r>
      <w:r w:rsidRPr="00F85FCF">
        <w:rPr>
          <w:i/>
          <w:iCs/>
        </w:rPr>
        <w:t>.</w:t>
      </w:r>
      <w:bookmarkStart w:id="26" w:name="_Hlk167371431"/>
    </w:p>
    <w:p w14:paraId="64B51007" w14:textId="77777777" w:rsidR="000666E9" w:rsidRPr="00F85FCF" w:rsidRDefault="000666E9" w:rsidP="000666E9">
      <w:r w:rsidRPr="00F85FCF">
        <w:t xml:space="preserve">The following data shows how the Scheme had delivered on the Application Timeliness metric each financial year from 2018-19 to 2025-26 to date. The data below was accurate as </w:t>
      </w:r>
      <w:proofErr w:type="gramStart"/>
      <w:r w:rsidRPr="00F85FCF">
        <w:t>at</w:t>
      </w:r>
      <w:proofErr w:type="gramEnd"/>
      <w:r w:rsidRPr="00F85FCF">
        <w:t xml:space="preserve"> 31 December 2025</w:t>
      </w:r>
      <w:bookmarkStart w:id="27" w:name="_Hlk167371535"/>
      <w:bookmarkEnd w:id="26"/>
      <w:r w:rsidRPr="00F85FCF">
        <w:t>.</w:t>
      </w:r>
    </w:p>
    <w:p w14:paraId="1134BC14" w14:textId="523E736A" w:rsidR="000666E9" w:rsidRDefault="000666E9" w:rsidP="000666E9">
      <w:pPr>
        <w:spacing w:after="0"/>
      </w:pPr>
      <w:r w:rsidRPr="00F85FCF">
        <w:rPr>
          <w:b/>
          <w:bCs/>
        </w:rPr>
        <w:t>Figure</w:t>
      </w:r>
      <w:r w:rsidR="00142458">
        <w:rPr>
          <w:b/>
          <w:bCs/>
        </w:rPr>
        <w:t xml:space="preserve"> 3</w:t>
      </w:r>
      <w:r w:rsidRPr="00F85FCF">
        <w:t>– Percentage of outcome notified within 6 months of receiving all required information.</w:t>
      </w:r>
    </w:p>
    <w:p w14:paraId="2F201572" w14:textId="77777777" w:rsidR="000666E9" w:rsidRDefault="000666E9" w:rsidP="000666E9">
      <w:pPr>
        <w:spacing w:after="0"/>
      </w:pPr>
      <w:r>
        <w:rPr>
          <w:noProof/>
          <w14:ligatures w14:val="standardContextual"/>
        </w:rPr>
        <w:drawing>
          <wp:inline distT="0" distB="0" distL="0" distR="0" wp14:anchorId="15D7DBAD" wp14:editId="5D85653D">
            <wp:extent cx="5543550" cy="2546350"/>
            <wp:effectExtent l="0" t="0" r="0" b="6350"/>
            <wp:docPr id="817185120" name="Chart 1" descr="Chart of outcomes notified within 6 months of receiving all required information by financial year. Chart shows that 4 out of 8 years results are above target and 4 are below target.">
              <a:extLst xmlns:a="http://schemas.openxmlformats.org/drawingml/2006/main">
                <a:ext uri="{FF2B5EF4-FFF2-40B4-BE49-F238E27FC236}">
                  <a16:creationId xmlns:a16="http://schemas.microsoft.com/office/drawing/2014/main" id="{AE017197-CA68-4AEF-8205-EDFA07D41C9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CE38982" w14:textId="77777777" w:rsidR="000666E9" w:rsidRDefault="000666E9" w:rsidP="000666E9">
      <w:pPr>
        <w:spacing w:after="0"/>
      </w:pPr>
    </w:p>
    <w:p w14:paraId="401F2AED" w14:textId="77777777" w:rsidR="000666E9" w:rsidRPr="00F85FCF" w:rsidRDefault="000666E9" w:rsidP="000666E9">
      <w:pPr>
        <w:spacing w:after="0"/>
      </w:pPr>
      <w:r w:rsidRPr="00F85FCF">
        <w:t>Results:</w:t>
      </w:r>
    </w:p>
    <w:p w14:paraId="06BE92C1" w14:textId="77777777" w:rsidR="000666E9" w:rsidRPr="00F85FCF" w:rsidRDefault="000666E9" w:rsidP="000666E9">
      <w:pPr>
        <w:pStyle w:val="ListParagraph"/>
        <w:numPr>
          <w:ilvl w:val="0"/>
          <w:numId w:val="6"/>
        </w:numPr>
        <w:spacing w:before="60" w:after="240"/>
      </w:pPr>
      <w:r w:rsidRPr="00F85FCF">
        <w:t>97% of outcomes notified within 6 months in 2018-19</w:t>
      </w:r>
    </w:p>
    <w:p w14:paraId="5810A29F" w14:textId="77777777" w:rsidR="000666E9" w:rsidRPr="00F85FCF" w:rsidRDefault="000666E9" w:rsidP="000666E9">
      <w:pPr>
        <w:pStyle w:val="ListParagraph"/>
        <w:numPr>
          <w:ilvl w:val="0"/>
          <w:numId w:val="6"/>
        </w:numPr>
        <w:spacing w:before="60" w:after="240"/>
      </w:pPr>
      <w:r w:rsidRPr="00F85FCF">
        <w:t>71% of outcomes notified within 6 months in 2019-20</w:t>
      </w:r>
    </w:p>
    <w:p w14:paraId="113B838F" w14:textId="77777777" w:rsidR="000666E9" w:rsidRPr="00F85FCF" w:rsidRDefault="000666E9" w:rsidP="000666E9">
      <w:pPr>
        <w:pStyle w:val="ListParagraph"/>
        <w:numPr>
          <w:ilvl w:val="0"/>
          <w:numId w:val="6"/>
        </w:numPr>
        <w:spacing w:before="60" w:after="240"/>
      </w:pPr>
      <w:r w:rsidRPr="00F85FCF">
        <w:t>83% of outcomes notified within 6 months in 2020-21</w:t>
      </w:r>
    </w:p>
    <w:p w14:paraId="3332B79A" w14:textId="77777777" w:rsidR="000666E9" w:rsidRPr="00F85FCF" w:rsidRDefault="000666E9" w:rsidP="000666E9">
      <w:pPr>
        <w:pStyle w:val="ListParagraph"/>
        <w:numPr>
          <w:ilvl w:val="0"/>
          <w:numId w:val="6"/>
        </w:numPr>
        <w:spacing w:before="60" w:after="240"/>
      </w:pPr>
      <w:r w:rsidRPr="00F85FCF">
        <w:t>79% of outcomes notified within 6 months in 2021-22</w:t>
      </w:r>
    </w:p>
    <w:p w14:paraId="3BBA60B1" w14:textId="77777777" w:rsidR="000666E9" w:rsidRPr="00F85FCF" w:rsidRDefault="000666E9" w:rsidP="000666E9">
      <w:pPr>
        <w:pStyle w:val="ListParagraph"/>
        <w:numPr>
          <w:ilvl w:val="0"/>
          <w:numId w:val="6"/>
        </w:numPr>
        <w:spacing w:before="60" w:after="240"/>
      </w:pPr>
      <w:r w:rsidRPr="00F85FCF">
        <w:t>77% of outcomes notified within 6 months in 2022-23</w:t>
      </w:r>
    </w:p>
    <w:p w14:paraId="781C46A8" w14:textId="77777777" w:rsidR="000666E9" w:rsidRPr="00F85FCF" w:rsidRDefault="000666E9" w:rsidP="000666E9">
      <w:pPr>
        <w:pStyle w:val="ListParagraph"/>
        <w:numPr>
          <w:ilvl w:val="0"/>
          <w:numId w:val="6"/>
        </w:numPr>
        <w:spacing w:before="60" w:after="240"/>
      </w:pPr>
      <w:r w:rsidRPr="00F85FCF">
        <w:t>52% of outcomes notified within 6 months in 2023-24</w:t>
      </w:r>
    </w:p>
    <w:p w14:paraId="6FCF8B7F" w14:textId="77777777" w:rsidR="000666E9" w:rsidRPr="00F85FCF" w:rsidRDefault="000666E9" w:rsidP="000666E9">
      <w:pPr>
        <w:pStyle w:val="ListParagraph"/>
        <w:numPr>
          <w:ilvl w:val="0"/>
          <w:numId w:val="6"/>
        </w:numPr>
        <w:spacing w:before="60" w:after="240"/>
      </w:pPr>
      <w:r w:rsidRPr="00F85FCF">
        <w:t>27% of outcomes notified within 6 months in 2024-25.</w:t>
      </w:r>
    </w:p>
    <w:p w14:paraId="082779B5" w14:textId="77777777" w:rsidR="000666E9" w:rsidRPr="00F85FCF" w:rsidRDefault="000666E9" w:rsidP="000666E9">
      <w:pPr>
        <w:pStyle w:val="ListParagraph"/>
        <w:numPr>
          <w:ilvl w:val="0"/>
          <w:numId w:val="6"/>
        </w:numPr>
        <w:spacing w:before="60" w:after="240"/>
      </w:pPr>
      <w:r w:rsidRPr="00F85FCF">
        <w:t>17% of outcomes notified within 6 months in 2025-26 (to date)</w:t>
      </w:r>
    </w:p>
    <w:bookmarkEnd w:id="27"/>
    <w:p w14:paraId="6D74BDE3" w14:textId="77777777" w:rsidR="000666E9" w:rsidRPr="006A0547" w:rsidRDefault="000666E9" w:rsidP="000666E9">
      <w:r w:rsidRPr="006A0547">
        <w:t xml:space="preserve">The actual result for this measure has been decreasing since 2022-23, in large part due to the significant increase in the number of applications received in this period. </w:t>
      </w:r>
    </w:p>
    <w:p w14:paraId="32A5A2F4" w14:textId="77777777" w:rsidR="000666E9" w:rsidRDefault="000666E9" w:rsidP="000666E9">
      <w:r w:rsidRPr="006A0547">
        <w:t>The Scheme gives applicants and institutions additional opportunities to provide further information as part of the application process, and this takes additional time.</w:t>
      </w:r>
      <w:r w:rsidRPr="00DC3A60">
        <w:t xml:space="preserve"> </w:t>
      </w:r>
    </w:p>
    <w:p w14:paraId="17693D4A" w14:textId="77777777" w:rsidR="000666E9" w:rsidRPr="002E3B59" w:rsidRDefault="000666E9" w:rsidP="000666E9">
      <w:r w:rsidRPr="00DC3A60">
        <w:lastRenderedPageBreak/>
        <w:t xml:space="preserve">Following the second-year review of the Scheme, measures were implemented to increase the finalisation rate of applications and enhance the </w:t>
      </w:r>
      <w:r w:rsidRPr="006A0547">
        <w:t xml:space="preserve">accessibility of the Scheme. </w:t>
      </w:r>
      <w:proofErr w:type="gramStart"/>
      <w:r w:rsidRPr="006A0547">
        <w:t>A number of</w:t>
      </w:r>
      <w:proofErr w:type="gramEnd"/>
      <w:r w:rsidRPr="006A0547">
        <w:t xml:space="preserve"> new initiatives are being implemented in FY2025-26 to increase the finalisation rate, including</w:t>
      </w:r>
      <w:r>
        <w:t xml:space="preserve"> working to finalise</w:t>
      </w:r>
      <w:r w:rsidRPr="006A0547">
        <w:t xml:space="preserve"> applications from the early years of the Scheme. While</w:t>
      </w:r>
      <w:r w:rsidRPr="00DC3A60">
        <w:t xml:space="preserve"> the Scheme has </w:t>
      </w:r>
      <w:r>
        <w:t xml:space="preserve">been able to </w:t>
      </w:r>
      <w:r w:rsidRPr="00DC3A60">
        <w:t xml:space="preserve">finalise a number of </w:t>
      </w:r>
      <w:r>
        <w:t xml:space="preserve">these </w:t>
      </w:r>
      <w:r w:rsidRPr="00DC3A60">
        <w:t xml:space="preserve">applications from the early years, this positive outcome is not able to be reflected in </w:t>
      </w:r>
      <w:r>
        <w:t>this measure as the applications have been on hand for longer than this</w:t>
      </w:r>
      <w:r w:rsidRPr="00DC3A60">
        <w:t>.</w:t>
      </w:r>
      <w:r>
        <w:t xml:space="preserve"> This means the positive outcome of being able to provide outcomes to more applicants isn’t captured in this measure.</w:t>
      </w:r>
      <w:r w:rsidRPr="003B6340">
        <w:t xml:space="preserve"> </w:t>
      </w:r>
    </w:p>
    <w:p w14:paraId="3B6100C5" w14:textId="77777777" w:rsidR="000666E9" w:rsidRDefault="000666E9" w:rsidP="000666E9">
      <w:r w:rsidRPr="006A0547">
        <w:t xml:space="preserve">As </w:t>
      </w:r>
      <w:proofErr w:type="gramStart"/>
      <w:r w:rsidRPr="006A0547">
        <w:t>at</w:t>
      </w:r>
      <w:proofErr w:type="gramEnd"/>
      <w:r w:rsidRPr="006A0547">
        <w:t xml:space="preserve"> 31 December 2025, the average processing time for applications was </w:t>
      </w:r>
      <w:r w:rsidRPr="006A0547">
        <w:rPr>
          <w:b/>
          <w:bCs/>
        </w:rPr>
        <w:t>15.3</w:t>
      </w:r>
      <w:r w:rsidRPr="006A0547">
        <w:rPr>
          <w:b/>
        </w:rPr>
        <w:t xml:space="preserve"> months</w:t>
      </w:r>
      <w:r w:rsidRPr="006A0547">
        <w:t>. The average processing time is calculated from when the Scheme first receives an application until the day that an applicant is notified of their outcome. It includes the time the Scheme is waiting to receive information from the named institution(s) or further information from the applicant. This is a different calculation from the metric presented in Figure 1 above.</w:t>
      </w:r>
    </w:p>
    <w:p w14:paraId="13676AF3" w14:textId="77777777" w:rsidR="000666E9" w:rsidRDefault="000666E9" w:rsidP="000666E9">
      <w:pPr>
        <w:spacing w:after="0"/>
      </w:pPr>
      <w:r w:rsidRPr="009277EE">
        <w:t xml:space="preserve">Table 1 presents data on the length of time applications have been with the Scheme. Applications on hand from the </w:t>
      </w:r>
      <w:r>
        <w:t>early</w:t>
      </w:r>
      <w:r w:rsidRPr="009277EE">
        <w:t xml:space="preserve"> years of the Scheme are </w:t>
      </w:r>
      <w:proofErr w:type="gramStart"/>
      <w:r w:rsidRPr="009277EE">
        <w:t>as a result of</w:t>
      </w:r>
      <w:proofErr w:type="gramEnd"/>
      <w:r w:rsidRPr="009277EE">
        <w:t xml:space="preserve"> a range of factors, including being on hold at the applicant’s request, the Scheme being unable to contact the applicant or due to non-participating institutions.</w:t>
      </w:r>
    </w:p>
    <w:p w14:paraId="017E968B" w14:textId="77777777" w:rsidR="000666E9" w:rsidRDefault="000666E9" w:rsidP="000666E9">
      <w:pPr>
        <w:spacing w:after="0"/>
      </w:pPr>
    </w:p>
    <w:p w14:paraId="7061F0B1" w14:textId="77777777" w:rsidR="000666E9" w:rsidRPr="00BC1298" w:rsidRDefault="000666E9" w:rsidP="000666E9">
      <w:pPr>
        <w:spacing w:after="0"/>
        <w:rPr>
          <w:i/>
          <w:iCs/>
        </w:rPr>
      </w:pPr>
      <w:r w:rsidRPr="00BC1298">
        <w:t>Th</w:t>
      </w:r>
      <w:r>
        <w:t>e below</w:t>
      </w:r>
      <w:r w:rsidRPr="00BC1298">
        <w:t xml:space="preserve"> table presents the status of all applications received in each Scheme year, as </w:t>
      </w:r>
      <w:proofErr w:type="gramStart"/>
      <w:r w:rsidRPr="00BC1298">
        <w:t>at</w:t>
      </w:r>
      <w:proofErr w:type="gramEnd"/>
      <w:r w:rsidRPr="00BC1298">
        <w:t xml:space="preserve"> 31 December 2025.</w:t>
      </w:r>
      <w:r w:rsidRPr="00BC1298">
        <w:rPr>
          <w:i/>
          <w:iCs/>
        </w:rPr>
        <w:t xml:space="preserve"> For example: 3,745 applications were received in 2020-21. Of those applications, 133 have since been withdrawn, 3,312 have since been finalised and 300 were still on hand </w:t>
      </w:r>
      <w:proofErr w:type="gramStart"/>
      <w:r w:rsidRPr="00BC1298">
        <w:rPr>
          <w:i/>
          <w:iCs/>
        </w:rPr>
        <w:t>at</w:t>
      </w:r>
      <w:proofErr w:type="gramEnd"/>
      <w:r w:rsidRPr="00BC1298">
        <w:rPr>
          <w:i/>
          <w:iCs/>
        </w:rPr>
        <w:t xml:space="preserve"> 31 December 2025.</w:t>
      </w:r>
    </w:p>
    <w:p w14:paraId="785B97DB" w14:textId="77777777" w:rsidR="000666E9" w:rsidRDefault="000666E9" w:rsidP="000666E9">
      <w:pPr>
        <w:spacing w:after="0"/>
      </w:pPr>
    </w:p>
    <w:p w14:paraId="6CDDA4F7" w14:textId="77777777" w:rsidR="000666E9" w:rsidRDefault="000666E9" w:rsidP="000666E9">
      <w:pPr>
        <w:spacing w:after="0"/>
      </w:pPr>
      <w:r w:rsidRPr="002B4629">
        <w:rPr>
          <w:b/>
          <w:bCs/>
        </w:rPr>
        <w:t>Table 1</w:t>
      </w:r>
      <w:r w:rsidRPr="002B4629">
        <w:t xml:space="preserve"> – Application timeliness: long-term applications on hand</w:t>
      </w:r>
    </w:p>
    <w:p w14:paraId="0E0E940A" w14:textId="77777777" w:rsidR="000666E9" w:rsidRDefault="000666E9" w:rsidP="000666E9">
      <w:pPr>
        <w:spacing w:after="0"/>
      </w:pPr>
    </w:p>
    <w:tbl>
      <w:tblPr>
        <w:tblStyle w:val="TableGrid"/>
        <w:tblW w:w="9187" w:type="dxa"/>
        <w:tblLook w:val="04A0" w:firstRow="1" w:lastRow="0" w:firstColumn="1" w:lastColumn="0" w:noHBand="0" w:noVBand="1"/>
      </w:tblPr>
      <w:tblGrid>
        <w:gridCol w:w="1555"/>
        <w:gridCol w:w="963"/>
        <w:gridCol w:w="963"/>
        <w:gridCol w:w="964"/>
        <w:gridCol w:w="964"/>
        <w:gridCol w:w="940"/>
        <w:gridCol w:w="1021"/>
        <w:gridCol w:w="989"/>
        <w:gridCol w:w="828"/>
      </w:tblGrid>
      <w:tr w:rsidR="000666E9" w:rsidRPr="00E84C36" w14:paraId="2FCBFFEA" w14:textId="77777777" w:rsidTr="009B30F2">
        <w:tc>
          <w:tcPr>
            <w:tcW w:w="1555" w:type="dxa"/>
          </w:tcPr>
          <w:p w14:paraId="6052044B" w14:textId="77777777" w:rsidR="000666E9" w:rsidRPr="00EA425E" w:rsidRDefault="000666E9" w:rsidP="009B30F2">
            <w:pPr>
              <w:rPr>
                <w:b/>
                <w:bCs/>
                <w:sz w:val="20"/>
                <w:szCs w:val="20"/>
              </w:rPr>
            </w:pPr>
            <w:r w:rsidRPr="00EA425E">
              <w:rPr>
                <w:b/>
                <w:bCs/>
                <w:sz w:val="20"/>
                <w:szCs w:val="20"/>
              </w:rPr>
              <w:t xml:space="preserve"> </w:t>
            </w:r>
          </w:p>
        </w:tc>
        <w:tc>
          <w:tcPr>
            <w:tcW w:w="963" w:type="dxa"/>
          </w:tcPr>
          <w:p w14:paraId="457BA815" w14:textId="77777777" w:rsidR="000666E9" w:rsidRPr="00EA425E" w:rsidRDefault="000666E9" w:rsidP="009B30F2">
            <w:pPr>
              <w:rPr>
                <w:b/>
                <w:bCs/>
                <w:sz w:val="20"/>
                <w:szCs w:val="20"/>
              </w:rPr>
            </w:pPr>
            <w:r w:rsidRPr="00EA425E">
              <w:rPr>
                <w:b/>
                <w:bCs/>
                <w:sz w:val="20"/>
                <w:szCs w:val="20"/>
              </w:rPr>
              <w:t>2018-19</w:t>
            </w:r>
          </w:p>
        </w:tc>
        <w:tc>
          <w:tcPr>
            <w:tcW w:w="963" w:type="dxa"/>
          </w:tcPr>
          <w:p w14:paraId="33EC0A9E" w14:textId="77777777" w:rsidR="000666E9" w:rsidRPr="00EA425E" w:rsidRDefault="000666E9" w:rsidP="009B30F2">
            <w:pPr>
              <w:rPr>
                <w:b/>
                <w:bCs/>
                <w:sz w:val="20"/>
                <w:szCs w:val="20"/>
              </w:rPr>
            </w:pPr>
            <w:r w:rsidRPr="00EA425E">
              <w:rPr>
                <w:b/>
                <w:bCs/>
                <w:sz w:val="20"/>
                <w:szCs w:val="20"/>
              </w:rPr>
              <w:t>2019-20</w:t>
            </w:r>
          </w:p>
        </w:tc>
        <w:tc>
          <w:tcPr>
            <w:tcW w:w="964" w:type="dxa"/>
          </w:tcPr>
          <w:p w14:paraId="016012D7" w14:textId="77777777" w:rsidR="000666E9" w:rsidRPr="00EA425E" w:rsidRDefault="000666E9" w:rsidP="009B30F2">
            <w:pPr>
              <w:rPr>
                <w:b/>
                <w:bCs/>
                <w:sz w:val="20"/>
                <w:szCs w:val="20"/>
              </w:rPr>
            </w:pPr>
            <w:r w:rsidRPr="00EA425E">
              <w:rPr>
                <w:b/>
                <w:bCs/>
                <w:sz w:val="20"/>
                <w:szCs w:val="20"/>
              </w:rPr>
              <w:t>2020-21</w:t>
            </w:r>
          </w:p>
        </w:tc>
        <w:tc>
          <w:tcPr>
            <w:tcW w:w="964" w:type="dxa"/>
          </w:tcPr>
          <w:p w14:paraId="5DBF6180" w14:textId="77777777" w:rsidR="000666E9" w:rsidRPr="00EA425E" w:rsidRDefault="000666E9" w:rsidP="009B30F2">
            <w:pPr>
              <w:rPr>
                <w:b/>
                <w:bCs/>
                <w:sz w:val="20"/>
                <w:szCs w:val="20"/>
              </w:rPr>
            </w:pPr>
            <w:r w:rsidRPr="00EA425E">
              <w:rPr>
                <w:b/>
                <w:bCs/>
                <w:sz w:val="20"/>
                <w:szCs w:val="20"/>
              </w:rPr>
              <w:t>2021-22</w:t>
            </w:r>
          </w:p>
        </w:tc>
        <w:tc>
          <w:tcPr>
            <w:tcW w:w="940" w:type="dxa"/>
          </w:tcPr>
          <w:p w14:paraId="120C4977" w14:textId="77777777" w:rsidR="000666E9" w:rsidRPr="00EA425E" w:rsidRDefault="000666E9" w:rsidP="009B30F2">
            <w:pPr>
              <w:rPr>
                <w:b/>
                <w:bCs/>
                <w:sz w:val="20"/>
                <w:szCs w:val="20"/>
              </w:rPr>
            </w:pPr>
            <w:r w:rsidRPr="00EA425E">
              <w:rPr>
                <w:b/>
                <w:bCs/>
                <w:sz w:val="20"/>
                <w:szCs w:val="20"/>
              </w:rPr>
              <w:t>2022-23</w:t>
            </w:r>
          </w:p>
        </w:tc>
        <w:tc>
          <w:tcPr>
            <w:tcW w:w="1021" w:type="dxa"/>
          </w:tcPr>
          <w:p w14:paraId="7C6B10A0" w14:textId="77777777" w:rsidR="000666E9" w:rsidRPr="00EA425E" w:rsidRDefault="000666E9" w:rsidP="009B30F2">
            <w:pPr>
              <w:rPr>
                <w:b/>
                <w:bCs/>
                <w:sz w:val="20"/>
                <w:szCs w:val="20"/>
              </w:rPr>
            </w:pPr>
            <w:r w:rsidRPr="00EA425E">
              <w:rPr>
                <w:b/>
                <w:bCs/>
                <w:sz w:val="20"/>
                <w:szCs w:val="20"/>
              </w:rPr>
              <w:t>2023-24</w:t>
            </w:r>
          </w:p>
        </w:tc>
        <w:tc>
          <w:tcPr>
            <w:tcW w:w="989" w:type="dxa"/>
          </w:tcPr>
          <w:p w14:paraId="3269C562" w14:textId="77777777" w:rsidR="000666E9" w:rsidRPr="00A06D66" w:rsidRDefault="000666E9" w:rsidP="009B30F2">
            <w:pPr>
              <w:rPr>
                <w:b/>
                <w:bCs/>
                <w:sz w:val="20"/>
                <w:szCs w:val="20"/>
              </w:rPr>
            </w:pPr>
            <w:r w:rsidRPr="00A06D66">
              <w:rPr>
                <w:b/>
                <w:bCs/>
                <w:sz w:val="20"/>
                <w:szCs w:val="20"/>
              </w:rPr>
              <w:t>2024-25</w:t>
            </w:r>
          </w:p>
        </w:tc>
        <w:tc>
          <w:tcPr>
            <w:tcW w:w="828" w:type="dxa"/>
          </w:tcPr>
          <w:p w14:paraId="1EC612CD" w14:textId="77777777" w:rsidR="000666E9" w:rsidRPr="00A06D66" w:rsidRDefault="000666E9" w:rsidP="009B30F2">
            <w:pPr>
              <w:rPr>
                <w:b/>
                <w:bCs/>
                <w:sz w:val="20"/>
                <w:szCs w:val="20"/>
              </w:rPr>
            </w:pPr>
            <w:r w:rsidRPr="002B4629">
              <w:rPr>
                <w:b/>
                <w:bCs/>
                <w:sz w:val="20"/>
                <w:szCs w:val="20"/>
              </w:rPr>
              <w:t>2025-26</w:t>
            </w:r>
          </w:p>
        </w:tc>
      </w:tr>
      <w:tr w:rsidR="000666E9" w:rsidRPr="00E84C36" w14:paraId="70311561" w14:textId="77777777" w:rsidTr="009B30F2">
        <w:tc>
          <w:tcPr>
            <w:tcW w:w="1555" w:type="dxa"/>
          </w:tcPr>
          <w:p w14:paraId="40258BC0" w14:textId="77777777" w:rsidR="000666E9" w:rsidRPr="00E84C36" w:rsidRDefault="000666E9" w:rsidP="009B30F2">
            <w:pPr>
              <w:rPr>
                <w:sz w:val="20"/>
                <w:szCs w:val="20"/>
              </w:rPr>
            </w:pPr>
            <w:r w:rsidRPr="00E84C36">
              <w:rPr>
                <w:sz w:val="20"/>
                <w:szCs w:val="20"/>
              </w:rPr>
              <w:t>Applications received</w:t>
            </w:r>
          </w:p>
        </w:tc>
        <w:tc>
          <w:tcPr>
            <w:tcW w:w="963" w:type="dxa"/>
          </w:tcPr>
          <w:p w14:paraId="7B6F131F" w14:textId="77777777" w:rsidR="000666E9" w:rsidRPr="000604C7" w:rsidRDefault="000666E9" w:rsidP="009B30F2">
            <w:pPr>
              <w:jc w:val="center"/>
              <w:rPr>
                <w:sz w:val="20"/>
                <w:szCs w:val="20"/>
              </w:rPr>
            </w:pPr>
            <w:r w:rsidRPr="000604C7">
              <w:rPr>
                <w:sz w:val="20"/>
                <w:szCs w:val="20"/>
              </w:rPr>
              <w:t>4,16</w:t>
            </w:r>
            <w:r>
              <w:rPr>
                <w:sz w:val="20"/>
                <w:szCs w:val="20"/>
              </w:rPr>
              <w:t>4</w:t>
            </w:r>
          </w:p>
        </w:tc>
        <w:tc>
          <w:tcPr>
            <w:tcW w:w="963" w:type="dxa"/>
          </w:tcPr>
          <w:p w14:paraId="6F3D8C50" w14:textId="77777777" w:rsidR="000666E9" w:rsidRPr="000604C7" w:rsidRDefault="000666E9" w:rsidP="009B30F2">
            <w:pPr>
              <w:jc w:val="center"/>
              <w:rPr>
                <w:sz w:val="20"/>
                <w:szCs w:val="20"/>
              </w:rPr>
            </w:pPr>
            <w:r w:rsidRPr="000604C7">
              <w:rPr>
                <w:sz w:val="20"/>
                <w:szCs w:val="20"/>
              </w:rPr>
              <w:t>3,11</w:t>
            </w:r>
            <w:r>
              <w:rPr>
                <w:sz w:val="20"/>
                <w:szCs w:val="20"/>
              </w:rPr>
              <w:t>4</w:t>
            </w:r>
          </w:p>
        </w:tc>
        <w:tc>
          <w:tcPr>
            <w:tcW w:w="964" w:type="dxa"/>
          </w:tcPr>
          <w:p w14:paraId="273CC33D" w14:textId="77777777" w:rsidR="000666E9" w:rsidRPr="000604C7" w:rsidRDefault="000666E9" w:rsidP="009B30F2">
            <w:pPr>
              <w:jc w:val="center"/>
              <w:rPr>
                <w:sz w:val="20"/>
                <w:szCs w:val="20"/>
              </w:rPr>
            </w:pPr>
            <w:r w:rsidRPr="000604C7">
              <w:rPr>
                <w:sz w:val="20"/>
                <w:szCs w:val="20"/>
              </w:rPr>
              <w:t>3,74</w:t>
            </w:r>
            <w:r>
              <w:rPr>
                <w:sz w:val="20"/>
                <w:szCs w:val="20"/>
              </w:rPr>
              <w:t>5</w:t>
            </w:r>
          </w:p>
        </w:tc>
        <w:tc>
          <w:tcPr>
            <w:tcW w:w="964" w:type="dxa"/>
          </w:tcPr>
          <w:p w14:paraId="611ABD78" w14:textId="77777777" w:rsidR="000666E9" w:rsidRPr="000604C7" w:rsidRDefault="000666E9" w:rsidP="009B30F2">
            <w:pPr>
              <w:jc w:val="center"/>
              <w:rPr>
                <w:sz w:val="20"/>
                <w:szCs w:val="20"/>
              </w:rPr>
            </w:pPr>
            <w:r w:rsidRPr="000604C7">
              <w:rPr>
                <w:sz w:val="20"/>
                <w:szCs w:val="20"/>
              </w:rPr>
              <w:t>5,9</w:t>
            </w:r>
            <w:r>
              <w:rPr>
                <w:sz w:val="20"/>
                <w:szCs w:val="20"/>
              </w:rPr>
              <w:t>72</w:t>
            </w:r>
          </w:p>
        </w:tc>
        <w:tc>
          <w:tcPr>
            <w:tcW w:w="940" w:type="dxa"/>
          </w:tcPr>
          <w:p w14:paraId="59E39B47" w14:textId="77777777" w:rsidR="000666E9" w:rsidRPr="000604C7" w:rsidRDefault="000666E9" w:rsidP="009B30F2">
            <w:pPr>
              <w:jc w:val="center"/>
              <w:rPr>
                <w:sz w:val="20"/>
                <w:szCs w:val="20"/>
              </w:rPr>
            </w:pPr>
            <w:r w:rsidRPr="000604C7">
              <w:rPr>
                <w:sz w:val="20"/>
                <w:szCs w:val="20"/>
              </w:rPr>
              <w:t>10,</w:t>
            </w:r>
            <w:r>
              <w:rPr>
                <w:sz w:val="20"/>
                <w:szCs w:val="20"/>
              </w:rPr>
              <w:t>665</w:t>
            </w:r>
          </w:p>
        </w:tc>
        <w:tc>
          <w:tcPr>
            <w:tcW w:w="1021" w:type="dxa"/>
          </w:tcPr>
          <w:p w14:paraId="0BC8E836" w14:textId="77777777" w:rsidR="000666E9" w:rsidRPr="000604C7" w:rsidRDefault="000666E9" w:rsidP="009B30F2">
            <w:pPr>
              <w:jc w:val="center"/>
              <w:rPr>
                <w:sz w:val="20"/>
                <w:szCs w:val="20"/>
              </w:rPr>
            </w:pPr>
            <w:r w:rsidRPr="000604C7">
              <w:rPr>
                <w:sz w:val="20"/>
                <w:szCs w:val="20"/>
              </w:rPr>
              <w:t>16,</w:t>
            </w:r>
            <w:r>
              <w:rPr>
                <w:sz w:val="20"/>
                <w:szCs w:val="20"/>
              </w:rPr>
              <w:t>266</w:t>
            </w:r>
          </w:p>
        </w:tc>
        <w:tc>
          <w:tcPr>
            <w:tcW w:w="989" w:type="dxa"/>
          </w:tcPr>
          <w:p w14:paraId="358104EF" w14:textId="77777777" w:rsidR="000666E9" w:rsidRPr="00A06D66" w:rsidRDefault="000666E9" w:rsidP="009B30F2">
            <w:pPr>
              <w:jc w:val="center"/>
              <w:rPr>
                <w:sz w:val="20"/>
                <w:szCs w:val="20"/>
              </w:rPr>
            </w:pPr>
            <w:r w:rsidRPr="00A06D66">
              <w:rPr>
                <w:sz w:val="20"/>
                <w:szCs w:val="20"/>
              </w:rPr>
              <w:t>19,</w:t>
            </w:r>
            <w:r>
              <w:rPr>
                <w:sz w:val="20"/>
                <w:szCs w:val="20"/>
              </w:rPr>
              <w:t>590</w:t>
            </w:r>
          </w:p>
        </w:tc>
        <w:tc>
          <w:tcPr>
            <w:tcW w:w="828" w:type="dxa"/>
          </w:tcPr>
          <w:p w14:paraId="31A709D6" w14:textId="77777777" w:rsidR="000666E9" w:rsidRPr="00A06D66" w:rsidRDefault="000666E9" w:rsidP="009B30F2">
            <w:pPr>
              <w:jc w:val="center"/>
              <w:rPr>
                <w:sz w:val="20"/>
                <w:szCs w:val="20"/>
              </w:rPr>
            </w:pPr>
            <w:r>
              <w:rPr>
                <w:sz w:val="20"/>
                <w:szCs w:val="20"/>
              </w:rPr>
              <w:t>8,819</w:t>
            </w:r>
          </w:p>
        </w:tc>
      </w:tr>
      <w:tr w:rsidR="000666E9" w:rsidRPr="00E84C36" w14:paraId="6FF35784" w14:textId="77777777" w:rsidTr="009B30F2">
        <w:tc>
          <w:tcPr>
            <w:tcW w:w="1555" w:type="dxa"/>
          </w:tcPr>
          <w:p w14:paraId="260E24BF" w14:textId="77777777" w:rsidR="000666E9" w:rsidRPr="00E84C36" w:rsidRDefault="000666E9" w:rsidP="009B30F2">
            <w:pPr>
              <w:rPr>
                <w:sz w:val="20"/>
                <w:szCs w:val="20"/>
              </w:rPr>
            </w:pPr>
            <w:proofErr w:type="gramStart"/>
            <w:r w:rsidRPr="00E84C36">
              <w:rPr>
                <w:sz w:val="20"/>
                <w:szCs w:val="20"/>
              </w:rPr>
              <w:t>Applications  withdrawn</w:t>
            </w:r>
            <w:proofErr w:type="gramEnd"/>
          </w:p>
        </w:tc>
        <w:tc>
          <w:tcPr>
            <w:tcW w:w="963" w:type="dxa"/>
          </w:tcPr>
          <w:p w14:paraId="07A48CA1" w14:textId="77777777" w:rsidR="000666E9" w:rsidRPr="000604C7" w:rsidRDefault="000666E9" w:rsidP="009B30F2">
            <w:pPr>
              <w:jc w:val="center"/>
              <w:rPr>
                <w:sz w:val="20"/>
                <w:szCs w:val="20"/>
              </w:rPr>
            </w:pPr>
            <w:r w:rsidRPr="000604C7">
              <w:rPr>
                <w:sz w:val="20"/>
                <w:szCs w:val="20"/>
              </w:rPr>
              <w:t>2</w:t>
            </w:r>
            <w:r>
              <w:rPr>
                <w:sz w:val="20"/>
                <w:szCs w:val="20"/>
              </w:rPr>
              <w:t>71</w:t>
            </w:r>
          </w:p>
        </w:tc>
        <w:tc>
          <w:tcPr>
            <w:tcW w:w="963" w:type="dxa"/>
          </w:tcPr>
          <w:p w14:paraId="4EB3BCC7" w14:textId="77777777" w:rsidR="000666E9" w:rsidRPr="000604C7" w:rsidRDefault="000666E9" w:rsidP="009B30F2">
            <w:pPr>
              <w:jc w:val="center"/>
              <w:rPr>
                <w:sz w:val="20"/>
                <w:szCs w:val="20"/>
              </w:rPr>
            </w:pPr>
            <w:r w:rsidRPr="000604C7">
              <w:rPr>
                <w:sz w:val="20"/>
                <w:szCs w:val="20"/>
              </w:rPr>
              <w:t>11</w:t>
            </w:r>
            <w:r>
              <w:rPr>
                <w:sz w:val="20"/>
                <w:szCs w:val="20"/>
              </w:rPr>
              <w:t>6</w:t>
            </w:r>
          </w:p>
        </w:tc>
        <w:tc>
          <w:tcPr>
            <w:tcW w:w="964" w:type="dxa"/>
          </w:tcPr>
          <w:p w14:paraId="605DF249" w14:textId="77777777" w:rsidR="000666E9" w:rsidRPr="000604C7" w:rsidRDefault="000666E9" w:rsidP="009B30F2">
            <w:pPr>
              <w:jc w:val="center"/>
              <w:rPr>
                <w:sz w:val="20"/>
                <w:szCs w:val="20"/>
              </w:rPr>
            </w:pPr>
            <w:r w:rsidRPr="000604C7">
              <w:rPr>
                <w:sz w:val="20"/>
                <w:szCs w:val="20"/>
              </w:rPr>
              <w:t>1</w:t>
            </w:r>
            <w:r>
              <w:rPr>
                <w:sz w:val="20"/>
                <w:szCs w:val="20"/>
              </w:rPr>
              <w:t>33</w:t>
            </w:r>
          </w:p>
        </w:tc>
        <w:tc>
          <w:tcPr>
            <w:tcW w:w="964" w:type="dxa"/>
          </w:tcPr>
          <w:p w14:paraId="0F24CC1D" w14:textId="77777777" w:rsidR="000666E9" w:rsidRPr="000604C7" w:rsidRDefault="000666E9" w:rsidP="009B30F2">
            <w:pPr>
              <w:jc w:val="center"/>
              <w:rPr>
                <w:sz w:val="20"/>
                <w:szCs w:val="20"/>
              </w:rPr>
            </w:pPr>
            <w:r w:rsidRPr="000604C7">
              <w:rPr>
                <w:sz w:val="20"/>
                <w:szCs w:val="20"/>
              </w:rPr>
              <w:t>3</w:t>
            </w:r>
            <w:r>
              <w:rPr>
                <w:sz w:val="20"/>
                <w:szCs w:val="20"/>
              </w:rPr>
              <w:t>88</w:t>
            </w:r>
          </w:p>
        </w:tc>
        <w:tc>
          <w:tcPr>
            <w:tcW w:w="940" w:type="dxa"/>
          </w:tcPr>
          <w:p w14:paraId="11B7361A" w14:textId="77777777" w:rsidR="000666E9" w:rsidRPr="000604C7" w:rsidRDefault="000666E9" w:rsidP="009B30F2">
            <w:pPr>
              <w:jc w:val="center"/>
              <w:rPr>
                <w:sz w:val="20"/>
                <w:szCs w:val="20"/>
              </w:rPr>
            </w:pPr>
            <w:r>
              <w:rPr>
                <w:sz w:val="20"/>
                <w:szCs w:val="20"/>
              </w:rPr>
              <w:t>675</w:t>
            </w:r>
          </w:p>
        </w:tc>
        <w:tc>
          <w:tcPr>
            <w:tcW w:w="1021" w:type="dxa"/>
          </w:tcPr>
          <w:p w14:paraId="3CA33473" w14:textId="77777777" w:rsidR="000666E9" w:rsidRPr="000604C7" w:rsidRDefault="000666E9" w:rsidP="009B30F2">
            <w:pPr>
              <w:jc w:val="center"/>
              <w:rPr>
                <w:sz w:val="20"/>
                <w:szCs w:val="20"/>
              </w:rPr>
            </w:pPr>
            <w:r>
              <w:rPr>
                <w:sz w:val="20"/>
                <w:szCs w:val="20"/>
              </w:rPr>
              <w:t>969</w:t>
            </w:r>
          </w:p>
        </w:tc>
        <w:tc>
          <w:tcPr>
            <w:tcW w:w="989" w:type="dxa"/>
          </w:tcPr>
          <w:p w14:paraId="5C1FF1AC" w14:textId="77777777" w:rsidR="000666E9" w:rsidRPr="00A06D66" w:rsidRDefault="000666E9" w:rsidP="009B30F2">
            <w:pPr>
              <w:jc w:val="center"/>
              <w:rPr>
                <w:sz w:val="20"/>
                <w:szCs w:val="20"/>
              </w:rPr>
            </w:pPr>
            <w:r>
              <w:rPr>
                <w:sz w:val="20"/>
                <w:szCs w:val="20"/>
              </w:rPr>
              <w:t>839</w:t>
            </w:r>
          </w:p>
        </w:tc>
        <w:tc>
          <w:tcPr>
            <w:tcW w:w="828" w:type="dxa"/>
          </w:tcPr>
          <w:p w14:paraId="508741C7" w14:textId="77777777" w:rsidR="000666E9" w:rsidRPr="00A06D66" w:rsidRDefault="000666E9" w:rsidP="009B30F2">
            <w:pPr>
              <w:jc w:val="center"/>
              <w:rPr>
                <w:sz w:val="20"/>
                <w:szCs w:val="20"/>
              </w:rPr>
            </w:pPr>
            <w:r>
              <w:rPr>
                <w:sz w:val="20"/>
                <w:szCs w:val="20"/>
              </w:rPr>
              <w:t>91</w:t>
            </w:r>
          </w:p>
        </w:tc>
      </w:tr>
      <w:tr w:rsidR="000666E9" w:rsidRPr="00E84C36" w14:paraId="4FAA5F76" w14:textId="77777777" w:rsidTr="009B30F2">
        <w:tc>
          <w:tcPr>
            <w:tcW w:w="1555" w:type="dxa"/>
          </w:tcPr>
          <w:p w14:paraId="65715631" w14:textId="77777777" w:rsidR="000666E9" w:rsidRPr="00E84C36" w:rsidRDefault="000666E9" w:rsidP="009B30F2">
            <w:pPr>
              <w:rPr>
                <w:sz w:val="20"/>
                <w:szCs w:val="20"/>
              </w:rPr>
            </w:pPr>
            <w:proofErr w:type="gramStart"/>
            <w:r w:rsidRPr="00E84C36">
              <w:rPr>
                <w:sz w:val="20"/>
                <w:szCs w:val="20"/>
              </w:rPr>
              <w:t>Applications  finalised</w:t>
            </w:r>
            <w:proofErr w:type="gramEnd"/>
          </w:p>
        </w:tc>
        <w:tc>
          <w:tcPr>
            <w:tcW w:w="963" w:type="dxa"/>
          </w:tcPr>
          <w:p w14:paraId="48047DBA" w14:textId="77777777" w:rsidR="000666E9" w:rsidRPr="000604C7" w:rsidRDefault="000666E9" w:rsidP="009B30F2">
            <w:pPr>
              <w:jc w:val="center"/>
              <w:rPr>
                <w:sz w:val="20"/>
                <w:szCs w:val="20"/>
              </w:rPr>
            </w:pPr>
            <w:r w:rsidRPr="000604C7">
              <w:rPr>
                <w:sz w:val="20"/>
                <w:szCs w:val="20"/>
              </w:rPr>
              <w:t>3,7</w:t>
            </w:r>
            <w:r>
              <w:rPr>
                <w:sz w:val="20"/>
                <w:szCs w:val="20"/>
              </w:rPr>
              <w:t>49</w:t>
            </w:r>
          </w:p>
        </w:tc>
        <w:tc>
          <w:tcPr>
            <w:tcW w:w="963" w:type="dxa"/>
          </w:tcPr>
          <w:p w14:paraId="6F581FEF" w14:textId="77777777" w:rsidR="000666E9" w:rsidRPr="009A4094" w:rsidRDefault="000666E9" w:rsidP="009B30F2">
            <w:pPr>
              <w:jc w:val="center"/>
              <w:rPr>
                <w:sz w:val="20"/>
                <w:szCs w:val="20"/>
              </w:rPr>
            </w:pPr>
            <w:r w:rsidRPr="009A4094">
              <w:rPr>
                <w:sz w:val="20"/>
                <w:szCs w:val="20"/>
              </w:rPr>
              <w:t>2,8</w:t>
            </w:r>
            <w:r>
              <w:rPr>
                <w:sz w:val="20"/>
                <w:szCs w:val="20"/>
              </w:rPr>
              <w:t>66</w:t>
            </w:r>
          </w:p>
        </w:tc>
        <w:tc>
          <w:tcPr>
            <w:tcW w:w="964" w:type="dxa"/>
          </w:tcPr>
          <w:p w14:paraId="22CE0C16" w14:textId="77777777" w:rsidR="000666E9" w:rsidRPr="009A4094" w:rsidRDefault="000666E9" w:rsidP="009B30F2">
            <w:pPr>
              <w:jc w:val="center"/>
              <w:rPr>
                <w:sz w:val="20"/>
                <w:szCs w:val="20"/>
              </w:rPr>
            </w:pPr>
            <w:r w:rsidRPr="009A4094">
              <w:rPr>
                <w:sz w:val="20"/>
                <w:szCs w:val="20"/>
              </w:rPr>
              <w:t>3,</w:t>
            </w:r>
            <w:r>
              <w:rPr>
                <w:sz w:val="20"/>
                <w:szCs w:val="20"/>
              </w:rPr>
              <w:t>312</w:t>
            </w:r>
          </w:p>
        </w:tc>
        <w:tc>
          <w:tcPr>
            <w:tcW w:w="964" w:type="dxa"/>
          </w:tcPr>
          <w:p w14:paraId="55B26FFF" w14:textId="77777777" w:rsidR="000666E9" w:rsidRPr="009A4094" w:rsidRDefault="000666E9" w:rsidP="009B30F2">
            <w:pPr>
              <w:jc w:val="center"/>
              <w:rPr>
                <w:sz w:val="20"/>
                <w:szCs w:val="20"/>
              </w:rPr>
            </w:pPr>
            <w:r w:rsidRPr="009A4094">
              <w:rPr>
                <w:sz w:val="20"/>
                <w:szCs w:val="20"/>
              </w:rPr>
              <w:t>4,</w:t>
            </w:r>
            <w:r>
              <w:rPr>
                <w:sz w:val="20"/>
                <w:szCs w:val="20"/>
              </w:rPr>
              <w:t>335</w:t>
            </w:r>
          </w:p>
        </w:tc>
        <w:tc>
          <w:tcPr>
            <w:tcW w:w="940" w:type="dxa"/>
          </w:tcPr>
          <w:p w14:paraId="397F78D5" w14:textId="77777777" w:rsidR="000666E9" w:rsidRPr="009A4094" w:rsidRDefault="000666E9" w:rsidP="009B30F2">
            <w:pPr>
              <w:jc w:val="center"/>
              <w:rPr>
                <w:sz w:val="20"/>
                <w:szCs w:val="20"/>
              </w:rPr>
            </w:pPr>
            <w:r>
              <w:rPr>
                <w:sz w:val="20"/>
                <w:szCs w:val="20"/>
              </w:rPr>
              <w:t>6,060</w:t>
            </w:r>
          </w:p>
        </w:tc>
        <w:tc>
          <w:tcPr>
            <w:tcW w:w="1021" w:type="dxa"/>
          </w:tcPr>
          <w:p w14:paraId="6A4B4C22" w14:textId="77777777" w:rsidR="000666E9" w:rsidRPr="009A4094" w:rsidRDefault="000666E9" w:rsidP="009B30F2">
            <w:pPr>
              <w:jc w:val="center"/>
              <w:rPr>
                <w:sz w:val="20"/>
                <w:szCs w:val="20"/>
              </w:rPr>
            </w:pPr>
            <w:r>
              <w:rPr>
                <w:sz w:val="20"/>
                <w:szCs w:val="20"/>
              </w:rPr>
              <w:t>2,917</w:t>
            </w:r>
          </w:p>
        </w:tc>
        <w:tc>
          <w:tcPr>
            <w:tcW w:w="989" w:type="dxa"/>
          </w:tcPr>
          <w:p w14:paraId="65B49C80" w14:textId="77777777" w:rsidR="000666E9" w:rsidRPr="00A06D66" w:rsidRDefault="000666E9" w:rsidP="009B30F2">
            <w:pPr>
              <w:jc w:val="center"/>
              <w:rPr>
                <w:sz w:val="20"/>
                <w:szCs w:val="20"/>
              </w:rPr>
            </w:pPr>
            <w:r>
              <w:rPr>
                <w:sz w:val="20"/>
                <w:szCs w:val="20"/>
              </w:rPr>
              <w:t>118</w:t>
            </w:r>
          </w:p>
        </w:tc>
        <w:tc>
          <w:tcPr>
            <w:tcW w:w="828" w:type="dxa"/>
          </w:tcPr>
          <w:p w14:paraId="5CE4C6C5" w14:textId="77777777" w:rsidR="000666E9" w:rsidRPr="00A06D66" w:rsidRDefault="000666E9" w:rsidP="009B30F2">
            <w:pPr>
              <w:jc w:val="center"/>
              <w:rPr>
                <w:sz w:val="20"/>
                <w:szCs w:val="20"/>
              </w:rPr>
            </w:pPr>
            <w:r>
              <w:rPr>
                <w:sz w:val="20"/>
                <w:szCs w:val="20"/>
              </w:rPr>
              <w:t>1</w:t>
            </w:r>
          </w:p>
        </w:tc>
      </w:tr>
      <w:tr w:rsidR="000666E9" w:rsidRPr="00E84C36" w14:paraId="660D8CF9" w14:textId="77777777" w:rsidTr="009B30F2">
        <w:tc>
          <w:tcPr>
            <w:tcW w:w="1555" w:type="dxa"/>
          </w:tcPr>
          <w:p w14:paraId="561D2149" w14:textId="77777777" w:rsidR="000666E9" w:rsidRPr="00E84C36" w:rsidRDefault="000666E9" w:rsidP="009B30F2">
            <w:pPr>
              <w:rPr>
                <w:sz w:val="20"/>
                <w:szCs w:val="20"/>
              </w:rPr>
            </w:pPr>
            <w:r w:rsidRPr="00E84C36">
              <w:rPr>
                <w:sz w:val="20"/>
                <w:szCs w:val="20"/>
              </w:rPr>
              <w:t xml:space="preserve">On hand </w:t>
            </w:r>
            <w:proofErr w:type="gramStart"/>
            <w:r w:rsidRPr="00E84C36">
              <w:rPr>
                <w:sz w:val="20"/>
                <w:szCs w:val="20"/>
              </w:rPr>
              <w:t>at</w:t>
            </w:r>
            <w:proofErr w:type="gramEnd"/>
            <w:r w:rsidRPr="00E84C36">
              <w:rPr>
                <w:sz w:val="20"/>
                <w:szCs w:val="20"/>
              </w:rPr>
              <w:t xml:space="preserve"> 3</w:t>
            </w:r>
            <w:r>
              <w:rPr>
                <w:sz w:val="20"/>
                <w:szCs w:val="20"/>
              </w:rPr>
              <w:t>1 December 2025</w:t>
            </w:r>
          </w:p>
        </w:tc>
        <w:tc>
          <w:tcPr>
            <w:tcW w:w="963" w:type="dxa"/>
          </w:tcPr>
          <w:p w14:paraId="3692CB2E" w14:textId="77777777" w:rsidR="000666E9" w:rsidRPr="000604C7" w:rsidRDefault="000666E9" w:rsidP="009B30F2">
            <w:pPr>
              <w:jc w:val="center"/>
              <w:rPr>
                <w:sz w:val="20"/>
                <w:szCs w:val="20"/>
              </w:rPr>
            </w:pPr>
            <w:r w:rsidRPr="000604C7">
              <w:rPr>
                <w:sz w:val="20"/>
                <w:szCs w:val="20"/>
              </w:rPr>
              <w:t>1</w:t>
            </w:r>
            <w:r>
              <w:rPr>
                <w:sz w:val="20"/>
                <w:szCs w:val="20"/>
              </w:rPr>
              <w:t>44</w:t>
            </w:r>
          </w:p>
        </w:tc>
        <w:tc>
          <w:tcPr>
            <w:tcW w:w="963" w:type="dxa"/>
          </w:tcPr>
          <w:p w14:paraId="38897F80" w14:textId="77777777" w:rsidR="000666E9" w:rsidRPr="009A4094" w:rsidRDefault="000666E9" w:rsidP="009B30F2">
            <w:pPr>
              <w:jc w:val="center"/>
              <w:rPr>
                <w:sz w:val="20"/>
                <w:szCs w:val="20"/>
              </w:rPr>
            </w:pPr>
            <w:r w:rsidRPr="009A4094">
              <w:rPr>
                <w:sz w:val="20"/>
                <w:szCs w:val="20"/>
              </w:rPr>
              <w:t>1</w:t>
            </w:r>
            <w:r>
              <w:rPr>
                <w:sz w:val="20"/>
                <w:szCs w:val="20"/>
              </w:rPr>
              <w:t>32</w:t>
            </w:r>
          </w:p>
        </w:tc>
        <w:tc>
          <w:tcPr>
            <w:tcW w:w="964" w:type="dxa"/>
          </w:tcPr>
          <w:p w14:paraId="0DED1889" w14:textId="77777777" w:rsidR="000666E9" w:rsidRPr="009A4094" w:rsidRDefault="000666E9" w:rsidP="009B30F2">
            <w:pPr>
              <w:jc w:val="center"/>
              <w:rPr>
                <w:sz w:val="20"/>
                <w:szCs w:val="20"/>
              </w:rPr>
            </w:pPr>
            <w:r w:rsidRPr="009A4094">
              <w:rPr>
                <w:sz w:val="20"/>
                <w:szCs w:val="20"/>
              </w:rPr>
              <w:t>3</w:t>
            </w:r>
            <w:r>
              <w:rPr>
                <w:sz w:val="20"/>
                <w:szCs w:val="20"/>
              </w:rPr>
              <w:t>00</w:t>
            </w:r>
          </w:p>
        </w:tc>
        <w:tc>
          <w:tcPr>
            <w:tcW w:w="964" w:type="dxa"/>
          </w:tcPr>
          <w:p w14:paraId="5BD2FABD" w14:textId="77777777" w:rsidR="000666E9" w:rsidRPr="009A4094" w:rsidRDefault="000666E9" w:rsidP="009B30F2">
            <w:pPr>
              <w:jc w:val="center"/>
              <w:rPr>
                <w:sz w:val="20"/>
                <w:szCs w:val="20"/>
              </w:rPr>
            </w:pPr>
            <w:r w:rsidRPr="009A4094">
              <w:rPr>
                <w:sz w:val="20"/>
                <w:szCs w:val="20"/>
              </w:rPr>
              <w:t>1,</w:t>
            </w:r>
            <w:r>
              <w:rPr>
                <w:sz w:val="20"/>
                <w:szCs w:val="20"/>
              </w:rPr>
              <w:t>249</w:t>
            </w:r>
          </w:p>
        </w:tc>
        <w:tc>
          <w:tcPr>
            <w:tcW w:w="940" w:type="dxa"/>
          </w:tcPr>
          <w:p w14:paraId="47E9FCA0" w14:textId="77777777" w:rsidR="000666E9" w:rsidRPr="009A4094" w:rsidRDefault="000666E9" w:rsidP="009B30F2">
            <w:pPr>
              <w:jc w:val="center"/>
              <w:rPr>
                <w:sz w:val="20"/>
                <w:szCs w:val="20"/>
              </w:rPr>
            </w:pPr>
            <w:r>
              <w:rPr>
                <w:sz w:val="20"/>
                <w:szCs w:val="20"/>
              </w:rPr>
              <w:t>3,930</w:t>
            </w:r>
          </w:p>
        </w:tc>
        <w:tc>
          <w:tcPr>
            <w:tcW w:w="1021" w:type="dxa"/>
          </w:tcPr>
          <w:p w14:paraId="768D6967" w14:textId="77777777" w:rsidR="000666E9" w:rsidRPr="009A4094" w:rsidRDefault="000666E9" w:rsidP="009B30F2">
            <w:pPr>
              <w:jc w:val="center"/>
              <w:rPr>
                <w:sz w:val="20"/>
                <w:szCs w:val="20"/>
              </w:rPr>
            </w:pPr>
            <w:r w:rsidRPr="009A4094">
              <w:rPr>
                <w:sz w:val="20"/>
                <w:szCs w:val="20"/>
              </w:rPr>
              <w:t>1</w:t>
            </w:r>
            <w:r>
              <w:rPr>
                <w:sz w:val="20"/>
                <w:szCs w:val="20"/>
              </w:rPr>
              <w:t>2,380</w:t>
            </w:r>
          </w:p>
        </w:tc>
        <w:tc>
          <w:tcPr>
            <w:tcW w:w="989" w:type="dxa"/>
          </w:tcPr>
          <w:p w14:paraId="2A11881C" w14:textId="77777777" w:rsidR="000666E9" w:rsidRPr="00A06D66" w:rsidRDefault="000666E9" w:rsidP="009B30F2">
            <w:pPr>
              <w:jc w:val="center"/>
              <w:rPr>
                <w:sz w:val="20"/>
                <w:szCs w:val="20"/>
              </w:rPr>
            </w:pPr>
            <w:r w:rsidRPr="00A06D66">
              <w:rPr>
                <w:sz w:val="20"/>
                <w:szCs w:val="20"/>
              </w:rPr>
              <w:t>1</w:t>
            </w:r>
            <w:r>
              <w:rPr>
                <w:sz w:val="20"/>
                <w:szCs w:val="20"/>
              </w:rPr>
              <w:t>8,633</w:t>
            </w:r>
          </w:p>
        </w:tc>
        <w:tc>
          <w:tcPr>
            <w:tcW w:w="828" w:type="dxa"/>
          </w:tcPr>
          <w:p w14:paraId="7D9F5F07" w14:textId="77777777" w:rsidR="000666E9" w:rsidRPr="00A06D66" w:rsidRDefault="000666E9" w:rsidP="009B30F2">
            <w:pPr>
              <w:jc w:val="center"/>
              <w:rPr>
                <w:sz w:val="20"/>
                <w:szCs w:val="20"/>
              </w:rPr>
            </w:pPr>
            <w:r>
              <w:rPr>
                <w:sz w:val="20"/>
                <w:szCs w:val="20"/>
              </w:rPr>
              <w:t>8,727</w:t>
            </w:r>
          </w:p>
        </w:tc>
      </w:tr>
      <w:tr w:rsidR="000666E9" w:rsidRPr="00E84C36" w14:paraId="175948E7" w14:textId="77777777" w:rsidTr="009B30F2">
        <w:tc>
          <w:tcPr>
            <w:tcW w:w="1555" w:type="dxa"/>
          </w:tcPr>
          <w:p w14:paraId="30E608FF" w14:textId="77777777" w:rsidR="000666E9" w:rsidRPr="00BA2258" w:rsidRDefault="000666E9" w:rsidP="009B30F2">
            <w:pPr>
              <w:jc w:val="center"/>
              <w:rPr>
                <w:b/>
                <w:bCs/>
                <w:color w:val="A20000"/>
                <w:sz w:val="20"/>
                <w:szCs w:val="20"/>
              </w:rPr>
            </w:pPr>
            <w:r w:rsidRPr="00BA2258">
              <w:rPr>
                <w:b/>
                <w:bCs/>
                <w:color w:val="5C0000"/>
                <w:sz w:val="20"/>
                <w:szCs w:val="20"/>
              </w:rPr>
              <w:t>Cumulative applications on hand</w:t>
            </w:r>
          </w:p>
        </w:tc>
        <w:tc>
          <w:tcPr>
            <w:tcW w:w="963" w:type="dxa"/>
          </w:tcPr>
          <w:p w14:paraId="03F3DEA1" w14:textId="77777777" w:rsidR="000666E9" w:rsidRPr="00BA2258" w:rsidRDefault="000666E9" w:rsidP="009B30F2">
            <w:pPr>
              <w:jc w:val="center"/>
              <w:rPr>
                <w:b/>
                <w:bCs/>
                <w:color w:val="5C0000"/>
                <w:sz w:val="20"/>
                <w:szCs w:val="20"/>
              </w:rPr>
            </w:pPr>
            <w:r w:rsidRPr="00BA2258">
              <w:rPr>
                <w:b/>
                <w:bCs/>
                <w:color w:val="5C0000"/>
                <w:sz w:val="20"/>
                <w:szCs w:val="20"/>
              </w:rPr>
              <w:t>1</w:t>
            </w:r>
            <w:r>
              <w:rPr>
                <w:b/>
                <w:bCs/>
                <w:color w:val="5C0000"/>
                <w:sz w:val="20"/>
                <w:szCs w:val="20"/>
              </w:rPr>
              <w:t>44</w:t>
            </w:r>
          </w:p>
        </w:tc>
        <w:tc>
          <w:tcPr>
            <w:tcW w:w="963" w:type="dxa"/>
          </w:tcPr>
          <w:p w14:paraId="3DB07E9C" w14:textId="77777777" w:rsidR="000666E9" w:rsidRPr="00BA2258" w:rsidRDefault="000666E9" w:rsidP="009B30F2">
            <w:pPr>
              <w:jc w:val="center"/>
              <w:rPr>
                <w:b/>
                <w:bCs/>
                <w:color w:val="5C0000"/>
                <w:sz w:val="20"/>
                <w:szCs w:val="20"/>
              </w:rPr>
            </w:pPr>
            <w:r>
              <w:rPr>
                <w:b/>
                <w:bCs/>
                <w:color w:val="5C0000"/>
                <w:sz w:val="20"/>
                <w:szCs w:val="20"/>
              </w:rPr>
              <w:t>276</w:t>
            </w:r>
          </w:p>
        </w:tc>
        <w:tc>
          <w:tcPr>
            <w:tcW w:w="964" w:type="dxa"/>
          </w:tcPr>
          <w:p w14:paraId="36F60263" w14:textId="77777777" w:rsidR="000666E9" w:rsidRPr="00BA2258" w:rsidRDefault="000666E9" w:rsidP="009B30F2">
            <w:pPr>
              <w:jc w:val="center"/>
              <w:rPr>
                <w:b/>
                <w:bCs/>
                <w:color w:val="5C0000"/>
                <w:sz w:val="20"/>
                <w:szCs w:val="20"/>
              </w:rPr>
            </w:pPr>
            <w:r>
              <w:rPr>
                <w:b/>
                <w:bCs/>
                <w:color w:val="5C0000"/>
                <w:sz w:val="20"/>
                <w:szCs w:val="20"/>
              </w:rPr>
              <w:t>576</w:t>
            </w:r>
          </w:p>
        </w:tc>
        <w:tc>
          <w:tcPr>
            <w:tcW w:w="964" w:type="dxa"/>
          </w:tcPr>
          <w:p w14:paraId="16C65008" w14:textId="77777777" w:rsidR="000666E9" w:rsidRPr="00BA2258" w:rsidRDefault="000666E9" w:rsidP="009B30F2">
            <w:pPr>
              <w:jc w:val="center"/>
              <w:rPr>
                <w:b/>
                <w:bCs/>
                <w:color w:val="5C0000"/>
                <w:sz w:val="20"/>
                <w:szCs w:val="20"/>
              </w:rPr>
            </w:pPr>
            <w:r>
              <w:rPr>
                <w:b/>
                <w:bCs/>
                <w:color w:val="5C0000"/>
                <w:sz w:val="20"/>
                <w:szCs w:val="20"/>
              </w:rPr>
              <w:t>1,825</w:t>
            </w:r>
          </w:p>
        </w:tc>
        <w:tc>
          <w:tcPr>
            <w:tcW w:w="940" w:type="dxa"/>
          </w:tcPr>
          <w:p w14:paraId="50F901FF" w14:textId="77777777" w:rsidR="000666E9" w:rsidRPr="00BA2258" w:rsidRDefault="000666E9" w:rsidP="009B30F2">
            <w:pPr>
              <w:jc w:val="center"/>
              <w:rPr>
                <w:b/>
                <w:bCs/>
                <w:color w:val="5C0000"/>
                <w:sz w:val="20"/>
                <w:szCs w:val="20"/>
              </w:rPr>
            </w:pPr>
            <w:r>
              <w:rPr>
                <w:b/>
                <w:bCs/>
                <w:color w:val="5C0000"/>
                <w:sz w:val="20"/>
                <w:szCs w:val="20"/>
              </w:rPr>
              <w:t>5,755</w:t>
            </w:r>
          </w:p>
        </w:tc>
        <w:tc>
          <w:tcPr>
            <w:tcW w:w="1021" w:type="dxa"/>
          </w:tcPr>
          <w:p w14:paraId="7BCE6B39" w14:textId="77777777" w:rsidR="000666E9" w:rsidRPr="00BA2258" w:rsidRDefault="000666E9" w:rsidP="009B30F2">
            <w:pPr>
              <w:jc w:val="center"/>
              <w:rPr>
                <w:b/>
                <w:bCs/>
                <w:color w:val="5C0000"/>
                <w:sz w:val="20"/>
                <w:szCs w:val="20"/>
              </w:rPr>
            </w:pPr>
            <w:r>
              <w:rPr>
                <w:b/>
                <w:bCs/>
                <w:color w:val="5C0000"/>
                <w:sz w:val="20"/>
                <w:szCs w:val="20"/>
              </w:rPr>
              <w:t>18,135</w:t>
            </w:r>
          </w:p>
        </w:tc>
        <w:tc>
          <w:tcPr>
            <w:tcW w:w="989" w:type="dxa"/>
          </w:tcPr>
          <w:p w14:paraId="38F476DF" w14:textId="77777777" w:rsidR="000666E9" w:rsidRPr="00A06D66" w:rsidRDefault="000666E9" w:rsidP="009B30F2">
            <w:pPr>
              <w:jc w:val="center"/>
              <w:rPr>
                <w:b/>
                <w:bCs/>
                <w:sz w:val="20"/>
                <w:szCs w:val="20"/>
              </w:rPr>
            </w:pPr>
            <w:r>
              <w:rPr>
                <w:b/>
                <w:bCs/>
                <w:color w:val="5C0000"/>
                <w:sz w:val="20"/>
                <w:szCs w:val="20"/>
              </w:rPr>
              <w:t>36,768</w:t>
            </w:r>
          </w:p>
        </w:tc>
        <w:tc>
          <w:tcPr>
            <w:tcW w:w="828" w:type="dxa"/>
          </w:tcPr>
          <w:p w14:paraId="15812AF2" w14:textId="77777777" w:rsidR="000666E9" w:rsidRPr="00BA2258" w:rsidRDefault="000666E9" w:rsidP="009B30F2">
            <w:pPr>
              <w:jc w:val="center"/>
              <w:rPr>
                <w:b/>
                <w:bCs/>
                <w:color w:val="5C0000"/>
                <w:sz w:val="20"/>
                <w:szCs w:val="20"/>
              </w:rPr>
            </w:pPr>
            <w:r>
              <w:rPr>
                <w:b/>
                <w:bCs/>
                <w:color w:val="5C0000"/>
                <w:sz w:val="20"/>
                <w:szCs w:val="20"/>
              </w:rPr>
              <w:t>45,495</w:t>
            </w:r>
          </w:p>
        </w:tc>
      </w:tr>
    </w:tbl>
    <w:p w14:paraId="4FB42F5C" w14:textId="77777777" w:rsidR="000666E9" w:rsidRDefault="000666E9" w:rsidP="006D3248">
      <w:pPr>
        <w:spacing w:before="1080" w:after="0"/>
      </w:pPr>
    </w:p>
    <w:p w14:paraId="179A320E" w14:textId="77777777" w:rsidR="000666E9" w:rsidRDefault="000666E9" w:rsidP="000666E9">
      <w:pPr>
        <w:spacing w:after="0"/>
      </w:pPr>
    </w:p>
    <w:p w14:paraId="30D18ACC" w14:textId="77777777" w:rsidR="000666E9" w:rsidRDefault="000666E9" w:rsidP="000666E9">
      <w:pPr>
        <w:spacing w:after="0"/>
      </w:pPr>
      <w:r w:rsidRPr="002B4629">
        <w:lastRenderedPageBreak/>
        <w:t xml:space="preserve">Table 2 provides data on the total number of applications </w:t>
      </w:r>
      <w:r>
        <w:t>resolv</w:t>
      </w:r>
      <w:r w:rsidRPr="002B4629">
        <w:t xml:space="preserve">ed in each year of the Scheme, regardless of which year they were received. The number of applications </w:t>
      </w:r>
      <w:r>
        <w:t>resolved</w:t>
      </w:r>
      <w:r w:rsidRPr="002B4629">
        <w:t xml:space="preserve"> in 2021-22 was affected by a process change which paused processing for a period. Other than that year, the number of finalised applications has increased each year.</w:t>
      </w:r>
    </w:p>
    <w:p w14:paraId="71C68015" w14:textId="77777777" w:rsidR="000666E9" w:rsidRDefault="000666E9" w:rsidP="000666E9">
      <w:pPr>
        <w:spacing w:after="0"/>
        <w:rPr>
          <w:b/>
          <w:bCs/>
        </w:rPr>
      </w:pPr>
    </w:p>
    <w:p w14:paraId="672CACDF" w14:textId="77777777" w:rsidR="000666E9" w:rsidRDefault="000666E9" w:rsidP="000666E9">
      <w:pPr>
        <w:spacing w:after="0"/>
      </w:pPr>
      <w:r w:rsidRPr="002B4629">
        <w:rPr>
          <w:b/>
          <w:bCs/>
        </w:rPr>
        <w:t>Table 2</w:t>
      </w:r>
      <w:r w:rsidRPr="002B4629">
        <w:t xml:space="preserve"> – Applications </w:t>
      </w:r>
      <w:r>
        <w:t>resolv</w:t>
      </w:r>
      <w:r w:rsidRPr="002B4629">
        <w:t>ed each Scheme year</w:t>
      </w:r>
    </w:p>
    <w:tbl>
      <w:tblPr>
        <w:tblStyle w:val="TableGrid"/>
        <w:tblW w:w="0" w:type="auto"/>
        <w:tblLook w:val="04A0" w:firstRow="1" w:lastRow="0" w:firstColumn="1" w:lastColumn="0" w:noHBand="0" w:noVBand="1"/>
      </w:tblPr>
      <w:tblGrid>
        <w:gridCol w:w="1295"/>
        <w:gridCol w:w="886"/>
        <w:gridCol w:w="997"/>
        <w:gridCol w:w="997"/>
        <w:gridCol w:w="904"/>
        <w:gridCol w:w="997"/>
        <w:gridCol w:w="997"/>
        <w:gridCol w:w="1057"/>
        <w:gridCol w:w="886"/>
      </w:tblGrid>
      <w:tr w:rsidR="000666E9" w:rsidRPr="00E84C36" w14:paraId="518AF940" w14:textId="77777777" w:rsidTr="009B30F2">
        <w:tc>
          <w:tcPr>
            <w:tcW w:w="1295" w:type="dxa"/>
          </w:tcPr>
          <w:p w14:paraId="37F0E1F8" w14:textId="77777777" w:rsidR="000666E9" w:rsidRPr="00E84C36" w:rsidRDefault="000666E9" w:rsidP="009B30F2">
            <w:pPr>
              <w:rPr>
                <w:sz w:val="20"/>
                <w:szCs w:val="20"/>
              </w:rPr>
            </w:pPr>
            <w:r w:rsidRPr="00E84C36">
              <w:rPr>
                <w:sz w:val="20"/>
                <w:szCs w:val="20"/>
              </w:rPr>
              <w:t xml:space="preserve"> </w:t>
            </w:r>
          </w:p>
        </w:tc>
        <w:tc>
          <w:tcPr>
            <w:tcW w:w="886" w:type="dxa"/>
          </w:tcPr>
          <w:p w14:paraId="2F19C3B5" w14:textId="77777777" w:rsidR="000666E9" w:rsidRPr="00EA425E" w:rsidRDefault="000666E9" w:rsidP="009B30F2">
            <w:pPr>
              <w:rPr>
                <w:b/>
                <w:bCs/>
                <w:sz w:val="20"/>
                <w:szCs w:val="20"/>
              </w:rPr>
            </w:pPr>
            <w:r w:rsidRPr="00EA425E">
              <w:rPr>
                <w:b/>
                <w:bCs/>
                <w:sz w:val="20"/>
                <w:szCs w:val="20"/>
              </w:rPr>
              <w:t>2018-19</w:t>
            </w:r>
          </w:p>
        </w:tc>
        <w:tc>
          <w:tcPr>
            <w:tcW w:w="997" w:type="dxa"/>
          </w:tcPr>
          <w:p w14:paraId="0A75BDB7" w14:textId="77777777" w:rsidR="000666E9" w:rsidRPr="00EA425E" w:rsidRDefault="000666E9" w:rsidP="009B30F2">
            <w:pPr>
              <w:rPr>
                <w:b/>
                <w:bCs/>
                <w:sz w:val="20"/>
                <w:szCs w:val="20"/>
              </w:rPr>
            </w:pPr>
            <w:r w:rsidRPr="00EA425E">
              <w:rPr>
                <w:b/>
                <w:bCs/>
                <w:sz w:val="20"/>
                <w:szCs w:val="20"/>
              </w:rPr>
              <w:t>2019-20</w:t>
            </w:r>
          </w:p>
        </w:tc>
        <w:tc>
          <w:tcPr>
            <w:tcW w:w="997" w:type="dxa"/>
          </w:tcPr>
          <w:p w14:paraId="61FBC97B" w14:textId="77777777" w:rsidR="000666E9" w:rsidRPr="00EA425E" w:rsidRDefault="000666E9" w:rsidP="009B30F2">
            <w:pPr>
              <w:rPr>
                <w:b/>
                <w:bCs/>
                <w:sz w:val="20"/>
                <w:szCs w:val="20"/>
              </w:rPr>
            </w:pPr>
            <w:r w:rsidRPr="00EA425E">
              <w:rPr>
                <w:b/>
                <w:bCs/>
                <w:sz w:val="20"/>
                <w:szCs w:val="20"/>
              </w:rPr>
              <w:t>2020-21</w:t>
            </w:r>
          </w:p>
        </w:tc>
        <w:tc>
          <w:tcPr>
            <w:tcW w:w="904" w:type="dxa"/>
          </w:tcPr>
          <w:p w14:paraId="136D4FC6" w14:textId="77777777" w:rsidR="000666E9" w:rsidRPr="00EA425E" w:rsidRDefault="000666E9" w:rsidP="009B30F2">
            <w:pPr>
              <w:rPr>
                <w:b/>
                <w:bCs/>
                <w:sz w:val="20"/>
                <w:szCs w:val="20"/>
              </w:rPr>
            </w:pPr>
            <w:r w:rsidRPr="00EA425E">
              <w:rPr>
                <w:b/>
                <w:bCs/>
                <w:sz w:val="20"/>
                <w:szCs w:val="20"/>
              </w:rPr>
              <w:t>2021-22</w:t>
            </w:r>
          </w:p>
        </w:tc>
        <w:tc>
          <w:tcPr>
            <w:tcW w:w="997" w:type="dxa"/>
          </w:tcPr>
          <w:p w14:paraId="639A1B78" w14:textId="77777777" w:rsidR="000666E9" w:rsidRPr="00EA425E" w:rsidRDefault="000666E9" w:rsidP="009B30F2">
            <w:pPr>
              <w:rPr>
                <w:b/>
                <w:bCs/>
                <w:sz w:val="20"/>
                <w:szCs w:val="20"/>
              </w:rPr>
            </w:pPr>
            <w:r w:rsidRPr="00EA425E">
              <w:rPr>
                <w:b/>
                <w:bCs/>
                <w:sz w:val="20"/>
                <w:szCs w:val="20"/>
              </w:rPr>
              <w:t>2022-23</w:t>
            </w:r>
          </w:p>
        </w:tc>
        <w:tc>
          <w:tcPr>
            <w:tcW w:w="997" w:type="dxa"/>
          </w:tcPr>
          <w:p w14:paraId="2A1CC1CE" w14:textId="77777777" w:rsidR="000666E9" w:rsidRPr="00EA425E" w:rsidRDefault="000666E9" w:rsidP="009B30F2">
            <w:pPr>
              <w:rPr>
                <w:b/>
                <w:bCs/>
                <w:sz w:val="20"/>
                <w:szCs w:val="20"/>
              </w:rPr>
            </w:pPr>
            <w:r w:rsidRPr="00EA425E">
              <w:rPr>
                <w:b/>
                <w:bCs/>
                <w:sz w:val="20"/>
                <w:szCs w:val="20"/>
              </w:rPr>
              <w:t>2023-24</w:t>
            </w:r>
          </w:p>
        </w:tc>
        <w:tc>
          <w:tcPr>
            <w:tcW w:w="1057" w:type="dxa"/>
          </w:tcPr>
          <w:p w14:paraId="2C43D54D" w14:textId="77777777" w:rsidR="000666E9" w:rsidRPr="00617289" w:rsidRDefault="000666E9" w:rsidP="009B30F2">
            <w:pPr>
              <w:rPr>
                <w:b/>
                <w:bCs/>
                <w:sz w:val="20"/>
                <w:szCs w:val="20"/>
              </w:rPr>
            </w:pPr>
            <w:r w:rsidRPr="00617289">
              <w:rPr>
                <w:b/>
                <w:bCs/>
                <w:sz w:val="20"/>
                <w:szCs w:val="20"/>
              </w:rPr>
              <w:t>2024-25</w:t>
            </w:r>
          </w:p>
        </w:tc>
        <w:tc>
          <w:tcPr>
            <w:tcW w:w="886" w:type="dxa"/>
          </w:tcPr>
          <w:p w14:paraId="415AC02B" w14:textId="77777777" w:rsidR="000666E9" w:rsidRPr="002B4629" w:rsidRDefault="000666E9" w:rsidP="009B30F2">
            <w:pPr>
              <w:rPr>
                <w:b/>
                <w:bCs/>
                <w:sz w:val="20"/>
                <w:szCs w:val="20"/>
              </w:rPr>
            </w:pPr>
            <w:r w:rsidRPr="002B4629">
              <w:rPr>
                <w:b/>
                <w:bCs/>
                <w:sz w:val="20"/>
                <w:szCs w:val="20"/>
              </w:rPr>
              <w:t>2025-26</w:t>
            </w:r>
          </w:p>
        </w:tc>
      </w:tr>
      <w:tr w:rsidR="000666E9" w:rsidRPr="00E84C36" w14:paraId="43772426" w14:textId="77777777" w:rsidTr="009B30F2">
        <w:tc>
          <w:tcPr>
            <w:tcW w:w="1295" w:type="dxa"/>
          </w:tcPr>
          <w:p w14:paraId="5B88FEF7" w14:textId="77777777" w:rsidR="000666E9" w:rsidRPr="00E84C36" w:rsidRDefault="000666E9" w:rsidP="009B30F2">
            <w:pPr>
              <w:rPr>
                <w:sz w:val="20"/>
                <w:szCs w:val="20"/>
              </w:rPr>
            </w:pPr>
            <w:r w:rsidRPr="00E84C36">
              <w:rPr>
                <w:sz w:val="20"/>
                <w:szCs w:val="20"/>
              </w:rPr>
              <w:t xml:space="preserve">Applications </w:t>
            </w:r>
            <w:r>
              <w:rPr>
                <w:sz w:val="20"/>
                <w:szCs w:val="20"/>
              </w:rPr>
              <w:t>resolved</w:t>
            </w:r>
          </w:p>
        </w:tc>
        <w:tc>
          <w:tcPr>
            <w:tcW w:w="886" w:type="dxa"/>
          </w:tcPr>
          <w:p w14:paraId="31AA2718" w14:textId="77777777" w:rsidR="000666E9" w:rsidRPr="00E84C36" w:rsidRDefault="000666E9" w:rsidP="009B30F2">
            <w:pPr>
              <w:jc w:val="center"/>
              <w:rPr>
                <w:sz w:val="20"/>
                <w:szCs w:val="20"/>
              </w:rPr>
            </w:pPr>
            <w:r>
              <w:rPr>
                <w:sz w:val="20"/>
                <w:szCs w:val="20"/>
              </w:rPr>
              <w:t>421</w:t>
            </w:r>
          </w:p>
        </w:tc>
        <w:tc>
          <w:tcPr>
            <w:tcW w:w="997" w:type="dxa"/>
          </w:tcPr>
          <w:p w14:paraId="67AA83A1" w14:textId="77777777" w:rsidR="000666E9" w:rsidRPr="00E84C36" w:rsidRDefault="000666E9" w:rsidP="009B30F2">
            <w:pPr>
              <w:jc w:val="center"/>
              <w:rPr>
                <w:sz w:val="20"/>
                <w:szCs w:val="20"/>
              </w:rPr>
            </w:pPr>
            <w:r>
              <w:rPr>
                <w:sz w:val="20"/>
                <w:szCs w:val="20"/>
              </w:rPr>
              <w:t>2,721</w:t>
            </w:r>
          </w:p>
        </w:tc>
        <w:tc>
          <w:tcPr>
            <w:tcW w:w="997" w:type="dxa"/>
          </w:tcPr>
          <w:p w14:paraId="1388B55F" w14:textId="77777777" w:rsidR="000666E9" w:rsidRPr="00E84C36" w:rsidRDefault="000666E9" w:rsidP="009B30F2">
            <w:pPr>
              <w:jc w:val="center"/>
              <w:rPr>
                <w:sz w:val="20"/>
                <w:szCs w:val="20"/>
              </w:rPr>
            </w:pPr>
            <w:r>
              <w:rPr>
                <w:sz w:val="20"/>
                <w:szCs w:val="20"/>
              </w:rPr>
              <w:t>3,411</w:t>
            </w:r>
          </w:p>
        </w:tc>
        <w:tc>
          <w:tcPr>
            <w:tcW w:w="904" w:type="dxa"/>
          </w:tcPr>
          <w:p w14:paraId="7EA2B6FA" w14:textId="77777777" w:rsidR="000666E9" w:rsidRPr="00E84C36" w:rsidRDefault="000666E9" w:rsidP="009B30F2">
            <w:pPr>
              <w:jc w:val="center"/>
              <w:rPr>
                <w:sz w:val="20"/>
                <w:szCs w:val="20"/>
              </w:rPr>
            </w:pPr>
            <w:r>
              <w:rPr>
                <w:sz w:val="20"/>
                <w:szCs w:val="20"/>
              </w:rPr>
              <w:t>2,890</w:t>
            </w:r>
          </w:p>
        </w:tc>
        <w:tc>
          <w:tcPr>
            <w:tcW w:w="997" w:type="dxa"/>
          </w:tcPr>
          <w:p w14:paraId="4352A13C" w14:textId="77777777" w:rsidR="000666E9" w:rsidRPr="00E84C36" w:rsidRDefault="000666E9" w:rsidP="009B30F2">
            <w:pPr>
              <w:jc w:val="center"/>
              <w:rPr>
                <w:sz w:val="20"/>
                <w:szCs w:val="20"/>
              </w:rPr>
            </w:pPr>
            <w:r>
              <w:rPr>
                <w:sz w:val="20"/>
                <w:szCs w:val="20"/>
              </w:rPr>
              <w:t>4,344</w:t>
            </w:r>
          </w:p>
        </w:tc>
        <w:tc>
          <w:tcPr>
            <w:tcW w:w="997" w:type="dxa"/>
          </w:tcPr>
          <w:p w14:paraId="540063EC" w14:textId="77777777" w:rsidR="000666E9" w:rsidRPr="00E84C36" w:rsidRDefault="000666E9" w:rsidP="009B30F2">
            <w:pPr>
              <w:jc w:val="center"/>
              <w:rPr>
                <w:sz w:val="20"/>
                <w:szCs w:val="20"/>
              </w:rPr>
            </w:pPr>
            <w:r>
              <w:rPr>
                <w:sz w:val="20"/>
                <w:szCs w:val="20"/>
              </w:rPr>
              <w:t>4,891</w:t>
            </w:r>
          </w:p>
        </w:tc>
        <w:tc>
          <w:tcPr>
            <w:tcW w:w="1057" w:type="dxa"/>
          </w:tcPr>
          <w:p w14:paraId="2E062881" w14:textId="77777777" w:rsidR="000666E9" w:rsidRPr="00617289" w:rsidRDefault="000666E9" w:rsidP="009B30F2">
            <w:pPr>
              <w:jc w:val="center"/>
              <w:rPr>
                <w:sz w:val="20"/>
                <w:szCs w:val="20"/>
              </w:rPr>
            </w:pPr>
            <w:r>
              <w:rPr>
                <w:sz w:val="20"/>
                <w:szCs w:val="20"/>
              </w:rPr>
              <w:t>5,369</w:t>
            </w:r>
          </w:p>
        </w:tc>
        <w:tc>
          <w:tcPr>
            <w:tcW w:w="886" w:type="dxa"/>
          </w:tcPr>
          <w:p w14:paraId="3D4CB98D" w14:textId="77777777" w:rsidR="000666E9" w:rsidRPr="002B4629" w:rsidRDefault="000666E9" w:rsidP="009B30F2">
            <w:pPr>
              <w:jc w:val="center"/>
              <w:rPr>
                <w:sz w:val="20"/>
                <w:szCs w:val="20"/>
              </w:rPr>
            </w:pPr>
            <w:r>
              <w:rPr>
                <w:sz w:val="20"/>
                <w:szCs w:val="20"/>
              </w:rPr>
              <w:t>3,233</w:t>
            </w:r>
          </w:p>
        </w:tc>
      </w:tr>
    </w:tbl>
    <w:p w14:paraId="4CB29C0C" w14:textId="77777777" w:rsidR="000666E9" w:rsidRPr="00025E49" w:rsidRDefault="000666E9" w:rsidP="000666E9">
      <w:pPr>
        <w:spacing w:after="0"/>
        <w:rPr>
          <w:i/>
          <w:iCs/>
        </w:rPr>
      </w:pPr>
      <w:bookmarkStart w:id="28" w:name="_Hlk219891063"/>
      <w:r>
        <w:rPr>
          <w:rFonts w:eastAsia="Times New Roman"/>
          <w:i/>
          <w:iCs/>
        </w:rPr>
        <w:t>Please note the data in this table may vary slightly from previously published figures, due to updates to data made over time. These figures include applications that have been finalised, closed or withdrawn.</w:t>
      </w:r>
    </w:p>
    <w:bookmarkEnd w:id="28"/>
    <w:p w14:paraId="7B1954D1" w14:textId="77777777" w:rsidR="000666E9" w:rsidRPr="00E84C36" w:rsidRDefault="000666E9" w:rsidP="000666E9">
      <w:pPr>
        <w:spacing w:after="0"/>
      </w:pPr>
    </w:p>
    <w:p w14:paraId="1AA778C3" w14:textId="77777777" w:rsidR="000666E9" w:rsidRDefault="000666E9">
      <w:pPr>
        <w:rPr>
          <w:rFonts w:eastAsiaTheme="majorEastAsia" w:cstheme="majorBidi"/>
          <w:b/>
          <w:bCs/>
          <w:sz w:val="28"/>
          <w:szCs w:val="28"/>
        </w:rPr>
      </w:pPr>
      <w:r>
        <w:rPr>
          <w:sz w:val="28"/>
          <w:szCs w:val="28"/>
        </w:rPr>
        <w:br w:type="page"/>
      </w:r>
    </w:p>
    <w:p w14:paraId="10964943" w14:textId="6AB0C5F7" w:rsidR="001D0461" w:rsidRPr="002A1E90" w:rsidRDefault="001D0461" w:rsidP="001D0461">
      <w:pPr>
        <w:pStyle w:val="Heading2"/>
        <w:spacing w:after="120"/>
        <w:rPr>
          <w:sz w:val="28"/>
          <w:szCs w:val="28"/>
        </w:rPr>
      </w:pPr>
      <w:bookmarkStart w:id="29" w:name="_Toc230098693"/>
      <w:r w:rsidRPr="002A1E90">
        <w:rPr>
          <w:sz w:val="28"/>
          <w:szCs w:val="28"/>
        </w:rPr>
        <w:lastRenderedPageBreak/>
        <w:t>Priority Area 2: Health of the Scheme</w:t>
      </w:r>
      <w:bookmarkEnd w:id="29"/>
    </w:p>
    <w:p w14:paraId="70853926" w14:textId="77777777" w:rsidR="001D0461" w:rsidRPr="00C7209B" w:rsidRDefault="001D0461" w:rsidP="001D0461">
      <w:pPr>
        <w:pStyle w:val="Heading3"/>
        <w:spacing w:after="120"/>
        <w:rPr>
          <w:sz w:val="24"/>
          <w:szCs w:val="24"/>
        </w:rPr>
      </w:pPr>
      <w:bookmarkStart w:id="30" w:name="_Toc230098694"/>
      <w:r>
        <w:rPr>
          <w:sz w:val="24"/>
          <w:szCs w:val="24"/>
        </w:rPr>
        <w:t>2a</w:t>
      </w:r>
      <w:r w:rsidRPr="00960C2F">
        <w:rPr>
          <w:sz w:val="24"/>
          <w:szCs w:val="24"/>
        </w:rPr>
        <w:t>. S</w:t>
      </w:r>
      <w:r>
        <w:rPr>
          <w:sz w:val="24"/>
          <w:szCs w:val="24"/>
        </w:rPr>
        <w:t>urvivor Acceptance</w:t>
      </w:r>
      <w:bookmarkEnd w:id="30"/>
    </w:p>
    <w:p w14:paraId="41EE59C8" w14:textId="77777777" w:rsidR="001D0461" w:rsidRPr="00B9212E" w:rsidRDefault="001D0461" w:rsidP="001D0461">
      <w:pPr>
        <w:rPr>
          <w:i/>
        </w:rPr>
      </w:pPr>
      <w:r w:rsidRPr="001F21AF">
        <w:rPr>
          <w:b/>
        </w:rPr>
        <w:t>Metric</w:t>
      </w:r>
      <w:r w:rsidRPr="00393303">
        <w:rPr>
          <w:bCs/>
        </w:rPr>
        <w:t>:</w:t>
      </w:r>
      <w:r>
        <w:rPr>
          <w:bCs/>
        </w:rPr>
        <w:t xml:space="preserve"> </w:t>
      </w:r>
      <w:r w:rsidRPr="001F21AF">
        <w:rPr>
          <w:i/>
        </w:rPr>
        <w:t>This metric measures the percentage of redress offers accepted by survivors across Direct Personal Responses and Counselling and Psychological Care services.</w:t>
      </w:r>
    </w:p>
    <w:p w14:paraId="6FF73056" w14:textId="46A9FEC6" w:rsidR="001D0461" w:rsidRPr="006516B1" w:rsidRDefault="001D0461" w:rsidP="001D0461">
      <w:pPr>
        <w:spacing w:after="120"/>
      </w:pPr>
      <w:r w:rsidRPr="00B9212E">
        <w:t>Th</w:t>
      </w:r>
      <w:r>
        <w:t xml:space="preserve">e </w:t>
      </w:r>
      <w:r w:rsidRPr="006516B1">
        <w:t xml:space="preserve">following data was accurate as </w:t>
      </w:r>
      <w:proofErr w:type="gramStart"/>
      <w:r w:rsidRPr="006516B1">
        <w:t>at</w:t>
      </w:r>
      <w:proofErr w:type="gramEnd"/>
      <w:r w:rsidRPr="006516B1">
        <w:t xml:space="preserve"> 3</w:t>
      </w:r>
      <w:r w:rsidR="00835DDA" w:rsidRPr="006516B1">
        <w:t xml:space="preserve">1 December </w:t>
      </w:r>
      <w:r w:rsidRPr="006516B1">
        <w:t>2025:</w:t>
      </w:r>
    </w:p>
    <w:p w14:paraId="7906358C" w14:textId="0EBC1A3B" w:rsidR="001D0461" w:rsidRPr="006516B1" w:rsidRDefault="001D0461" w:rsidP="001D0461">
      <w:pPr>
        <w:pStyle w:val="ListParagraph"/>
        <w:numPr>
          <w:ilvl w:val="0"/>
          <w:numId w:val="11"/>
        </w:numPr>
        <w:tabs>
          <w:tab w:val="left" w:pos="3769"/>
        </w:tabs>
        <w:rPr>
          <w:bCs/>
        </w:rPr>
      </w:pPr>
      <w:r w:rsidRPr="006516B1">
        <w:rPr>
          <w:b/>
        </w:rPr>
        <w:t>1</w:t>
      </w:r>
      <w:r w:rsidR="00C06038" w:rsidRPr="006516B1">
        <w:rPr>
          <w:b/>
        </w:rPr>
        <w:t>5,792</w:t>
      </w:r>
      <w:r w:rsidRPr="006516B1">
        <w:rPr>
          <w:b/>
        </w:rPr>
        <w:t xml:space="preserve"> (74%)</w:t>
      </w:r>
      <w:r w:rsidRPr="006516B1">
        <w:rPr>
          <w:bCs/>
        </w:rPr>
        <w:t xml:space="preserve"> of people who accepted an offer of redress, had also accepted the offer for Counselling and Psychological Care (CPC) services</w:t>
      </w:r>
      <w:r w:rsidRPr="006516B1">
        <w:rPr>
          <w:rStyle w:val="FootnoteReference"/>
          <w:bCs/>
        </w:rPr>
        <w:footnoteReference w:id="3"/>
      </w:r>
      <w:r w:rsidRPr="006516B1">
        <w:rPr>
          <w:bCs/>
        </w:rPr>
        <w:t xml:space="preserve">. Of these </w:t>
      </w:r>
      <w:r w:rsidR="00142648" w:rsidRPr="006516B1">
        <w:rPr>
          <w:b/>
        </w:rPr>
        <w:t>1</w:t>
      </w:r>
      <w:r w:rsidR="00603D7D" w:rsidRPr="006516B1">
        <w:rPr>
          <w:b/>
        </w:rPr>
        <w:t>1,246</w:t>
      </w:r>
      <w:r w:rsidRPr="006516B1">
        <w:rPr>
          <w:b/>
        </w:rPr>
        <w:t xml:space="preserve"> (7</w:t>
      </w:r>
      <w:r w:rsidR="00142648" w:rsidRPr="006516B1">
        <w:rPr>
          <w:b/>
        </w:rPr>
        <w:t>1</w:t>
      </w:r>
      <w:r w:rsidRPr="006516B1">
        <w:rPr>
          <w:b/>
        </w:rPr>
        <w:t>%)</w:t>
      </w:r>
      <w:r w:rsidRPr="006516B1">
        <w:rPr>
          <w:bCs/>
        </w:rPr>
        <w:t xml:space="preserve"> were for referral services and </w:t>
      </w:r>
      <w:r w:rsidRPr="006516B1">
        <w:rPr>
          <w:b/>
        </w:rPr>
        <w:t>4,</w:t>
      </w:r>
      <w:r w:rsidR="001B67E6" w:rsidRPr="006516B1">
        <w:rPr>
          <w:b/>
        </w:rPr>
        <w:t>546</w:t>
      </w:r>
      <w:r w:rsidRPr="006516B1">
        <w:rPr>
          <w:b/>
        </w:rPr>
        <w:t xml:space="preserve"> (</w:t>
      </w:r>
      <w:r w:rsidR="00142648" w:rsidRPr="006516B1">
        <w:rPr>
          <w:b/>
        </w:rPr>
        <w:t>29</w:t>
      </w:r>
      <w:r w:rsidRPr="006516B1">
        <w:rPr>
          <w:b/>
        </w:rPr>
        <w:t>%)</w:t>
      </w:r>
      <w:r w:rsidRPr="006516B1">
        <w:rPr>
          <w:bCs/>
        </w:rPr>
        <w:t xml:space="preserve"> were for a lump sum payment.</w:t>
      </w:r>
    </w:p>
    <w:p w14:paraId="7E4121AF" w14:textId="660F221A" w:rsidR="001D0461" w:rsidRPr="00FD2839" w:rsidRDefault="001D0461" w:rsidP="001D0461">
      <w:pPr>
        <w:pStyle w:val="ListParagraph"/>
        <w:numPr>
          <w:ilvl w:val="0"/>
          <w:numId w:val="11"/>
        </w:numPr>
        <w:tabs>
          <w:tab w:val="left" w:pos="3769"/>
        </w:tabs>
        <w:rPr>
          <w:bCs/>
        </w:rPr>
      </w:pPr>
      <w:r w:rsidRPr="006516B1">
        <w:rPr>
          <w:b/>
        </w:rPr>
        <w:t>1</w:t>
      </w:r>
      <w:r w:rsidR="000D2791" w:rsidRPr="006516B1">
        <w:rPr>
          <w:b/>
        </w:rPr>
        <w:t>2,388</w:t>
      </w:r>
      <w:r w:rsidRPr="006516B1">
        <w:rPr>
          <w:bCs/>
        </w:rPr>
        <w:t xml:space="preserve"> (representing </w:t>
      </w:r>
      <w:r w:rsidRPr="006516B1">
        <w:rPr>
          <w:b/>
        </w:rPr>
        <w:t>58%</w:t>
      </w:r>
      <w:r w:rsidRPr="006516B1">
        <w:rPr>
          <w:bCs/>
        </w:rPr>
        <w:t xml:space="preserve"> of applicants who responded to their offer of redress) indicated that they may like to participate in a Direct Personal Response.</w:t>
      </w:r>
      <w:r>
        <w:br w:type="page"/>
      </w:r>
    </w:p>
    <w:p w14:paraId="23B63116" w14:textId="77777777" w:rsidR="001D0461" w:rsidRPr="00C7209B" w:rsidRDefault="001D0461" w:rsidP="001D0461">
      <w:pPr>
        <w:pStyle w:val="Heading3"/>
        <w:spacing w:after="120"/>
        <w:rPr>
          <w:sz w:val="24"/>
          <w:szCs w:val="24"/>
        </w:rPr>
      </w:pPr>
      <w:bookmarkStart w:id="31" w:name="_Toc230098695"/>
      <w:r w:rsidRPr="00C7209B">
        <w:rPr>
          <w:sz w:val="24"/>
          <w:szCs w:val="24"/>
        </w:rPr>
        <w:lastRenderedPageBreak/>
        <w:t>2b. Maintaining Institutional Participation</w:t>
      </w:r>
      <w:bookmarkEnd w:id="31"/>
    </w:p>
    <w:p w14:paraId="1F85CBDF" w14:textId="77777777" w:rsidR="001D0461" w:rsidRPr="006516B1" w:rsidRDefault="001D0461" w:rsidP="001D0461">
      <w:pPr>
        <w:rPr>
          <w:rFonts w:cs="Arial"/>
          <w:i/>
          <w:sz w:val="24"/>
        </w:rPr>
      </w:pPr>
      <w:r w:rsidRPr="006516B1">
        <w:rPr>
          <w:b/>
          <w:bCs/>
        </w:rPr>
        <w:t>Metric</w:t>
      </w:r>
      <w:r w:rsidRPr="006516B1">
        <w:t xml:space="preserve">: </w:t>
      </w:r>
      <w:r w:rsidRPr="006516B1">
        <w:rPr>
          <w:i/>
        </w:rPr>
        <w:t xml:space="preserve">The Scheme will engage and maintain participation, with institutions </w:t>
      </w:r>
      <w:proofErr w:type="gramStart"/>
      <w:r w:rsidRPr="006516B1">
        <w:rPr>
          <w:i/>
        </w:rPr>
        <w:t>on-board</w:t>
      </w:r>
      <w:proofErr w:type="gramEnd"/>
      <w:r w:rsidRPr="006516B1">
        <w:rPr>
          <w:i/>
        </w:rPr>
        <w:t xml:space="preserve"> to cover </w:t>
      </w:r>
      <w:r w:rsidRPr="006516B1">
        <w:rPr>
          <w:rFonts w:cs="Arial"/>
          <w:b/>
          <w:i/>
        </w:rPr>
        <w:t>≥95%</w:t>
      </w:r>
      <w:r w:rsidRPr="006516B1">
        <w:rPr>
          <w:rFonts w:cs="Arial"/>
          <w:i/>
        </w:rPr>
        <w:t xml:space="preserve"> of applications in progress</w:t>
      </w:r>
      <w:r w:rsidRPr="006516B1">
        <w:rPr>
          <w:rFonts w:cs="Arial"/>
          <w:iCs/>
        </w:rPr>
        <w:t>.</w:t>
      </w:r>
    </w:p>
    <w:p w14:paraId="6AEAEA4C" w14:textId="7B70D901" w:rsidR="001D0461" w:rsidRPr="006516B1" w:rsidRDefault="001D0461" w:rsidP="001D0461">
      <w:r w:rsidRPr="006516B1">
        <w:t xml:space="preserve">The following data was accurate as </w:t>
      </w:r>
      <w:proofErr w:type="gramStart"/>
      <w:r w:rsidRPr="006516B1">
        <w:t>at</w:t>
      </w:r>
      <w:proofErr w:type="gramEnd"/>
      <w:r w:rsidRPr="006516B1">
        <w:t xml:space="preserve"> </w:t>
      </w:r>
      <w:r w:rsidRPr="006516B1">
        <w:rPr>
          <w:bCs/>
        </w:rPr>
        <w:t>3</w:t>
      </w:r>
      <w:r w:rsidR="00204062" w:rsidRPr="006516B1">
        <w:rPr>
          <w:bCs/>
        </w:rPr>
        <w:t xml:space="preserve">1 December </w:t>
      </w:r>
      <w:r w:rsidRPr="006516B1">
        <w:rPr>
          <w:bCs/>
        </w:rPr>
        <w:t>2025</w:t>
      </w:r>
      <w:r w:rsidRPr="006516B1">
        <w:t xml:space="preserve"> and captures how the Scheme ha</w:t>
      </w:r>
      <w:r w:rsidR="00870AC8">
        <w:t>s</w:t>
      </w:r>
      <w:r w:rsidRPr="006516B1">
        <w:t xml:space="preserve"> delivered on the Maintaining Institutions Participation metric. </w:t>
      </w:r>
    </w:p>
    <w:p w14:paraId="512B5FF7" w14:textId="70F39197" w:rsidR="001D0461" w:rsidRDefault="001D0461" w:rsidP="006516B1">
      <w:pPr>
        <w:spacing w:after="0"/>
      </w:pPr>
      <w:r w:rsidRPr="006516B1">
        <w:rPr>
          <w:b/>
          <w:bCs/>
        </w:rPr>
        <w:t xml:space="preserve">Figure </w:t>
      </w:r>
      <w:r w:rsidR="00387EA9" w:rsidRPr="006516B1">
        <w:rPr>
          <w:b/>
          <w:bCs/>
        </w:rPr>
        <w:t>4</w:t>
      </w:r>
      <w:r w:rsidRPr="006516B1">
        <w:t xml:space="preserve"> – Percentage of on</w:t>
      </w:r>
      <w:r>
        <w:t xml:space="preserve">-board institutions covering applications in progress. </w:t>
      </w:r>
    </w:p>
    <w:p w14:paraId="080D7867" w14:textId="144FE277" w:rsidR="001D0461" w:rsidRDefault="006516B1" w:rsidP="001D0461">
      <w:pPr>
        <w:rPr>
          <w:sz w:val="23"/>
          <w:szCs w:val="23"/>
        </w:rPr>
      </w:pPr>
      <w:r>
        <w:rPr>
          <w:noProof/>
          <w14:ligatures w14:val="standardContextual"/>
        </w:rPr>
        <w:drawing>
          <wp:inline distT="0" distB="0" distL="0" distR="0" wp14:anchorId="57AF9A17" wp14:editId="6A539ED7">
            <wp:extent cx="5591658" cy="2785420"/>
            <wp:effectExtent l="0" t="0" r="9525" b="15240"/>
            <wp:docPr id="1911067111" name="Chart 1" descr="Chart of institutions onboard. results for first 3 years are below the target of 95% but latest 5 years results are above the target.">
              <a:extLst xmlns:a="http://schemas.openxmlformats.org/drawingml/2006/main">
                <a:ext uri="{FF2B5EF4-FFF2-40B4-BE49-F238E27FC236}">
                  <a16:creationId xmlns:a16="http://schemas.microsoft.com/office/drawing/2014/main" id="{D965F19B-4A85-44B5-AF8F-D17D72B68E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7D0A997" w14:textId="77777777" w:rsidR="001D0461" w:rsidRPr="006516B1" w:rsidRDefault="001D0461" w:rsidP="001D0461">
      <w:r w:rsidRPr="006516B1">
        <w:rPr>
          <w:sz w:val="23"/>
          <w:szCs w:val="23"/>
        </w:rPr>
        <w:t>Results:</w:t>
      </w:r>
      <w:r w:rsidRPr="006516B1">
        <w:t xml:space="preserve"> </w:t>
      </w:r>
    </w:p>
    <w:p w14:paraId="6B06B2BC" w14:textId="77777777" w:rsidR="001D0461" w:rsidRPr="006516B1" w:rsidRDefault="001D0461" w:rsidP="001D0461">
      <w:pPr>
        <w:pStyle w:val="ListParagraph"/>
        <w:numPr>
          <w:ilvl w:val="0"/>
          <w:numId w:val="8"/>
        </w:numPr>
        <w:rPr>
          <w:rFonts w:eastAsiaTheme="majorEastAsia" w:cstheme="majorBidi"/>
          <w:iCs/>
        </w:rPr>
      </w:pPr>
      <w:r w:rsidRPr="006516B1">
        <w:rPr>
          <w:rFonts w:eastAsiaTheme="majorEastAsia" w:cstheme="majorBidi"/>
          <w:iCs/>
        </w:rPr>
        <w:t xml:space="preserve">85%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2018-19</w:t>
      </w:r>
    </w:p>
    <w:p w14:paraId="7B03CEEE" w14:textId="77777777"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 xml:space="preserve">86%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2019-20</w:t>
      </w:r>
    </w:p>
    <w:p w14:paraId="5C266B62" w14:textId="77777777"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 xml:space="preserve">94%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2020-21</w:t>
      </w:r>
    </w:p>
    <w:p w14:paraId="48F2703C" w14:textId="77777777"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 xml:space="preserve">98%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2021-22 </w:t>
      </w:r>
    </w:p>
    <w:p w14:paraId="17C87B47" w14:textId="29158EE9"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9</w:t>
      </w:r>
      <w:r w:rsidR="005123A4" w:rsidRPr="006516B1">
        <w:rPr>
          <w:rFonts w:eastAsiaTheme="majorEastAsia" w:cstheme="majorBidi"/>
          <w:iCs/>
        </w:rPr>
        <w:t>9</w:t>
      </w:r>
      <w:r w:rsidRPr="006516B1">
        <w:rPr>
          <w:rFonts w:eastAsiaTheme="majorEastAsia" w:cstheme="majorBidi"/>
          <w:iCs/>
        </w:rPr>
        <w:t xml:space="preserve">%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2022-23</w:t>
      </w:r>
    </w:p>
    <w:p w14:paraId="012DFF3B" w14:textId="77777777"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 xml:space="preserve">99%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2023-24</w:t>
      </w:r>
    </w:p>
    <w:p w14:paraId="5CA522E5" w14:textId="22747E52" w:rsidR="001D0461" w:rsidRPr="006516B1" w:rsidRDefault="001D0461" w:rsidP="001D0461">
      <w:pPr>
        <w:pStyle w:val="ListParagraph"/>
        <w:numPr>
          <w:ilvl w:val="0"/>
          <w:numId w:val="7"/>
        </w:numPr>
        <w:rPr>
          <w:rFonts w:eastAsiaTheme="majorEastAsia" w:cstheme="majorBidi"/>
          <w:iCs/>
        </w:rPr>
      </w:pPr>
      <w:r w:rsidRPr="006516B1">
        <w:rPr>
          <w:rFonts w:eastAsiaTheme="majorEastAsia" w:cstheme="majorBidi"/>
          <w:iCs/>
        </w:rPr>
        <w:t xml:space="preserve">99%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2024-25</w:t>
      </w:r>
    </w:p>
    <w:p w14:paraId="3B7D5F1F" w14:textId="5CB5378F" w:rsidR="00657310" w:rsidRPr="006516B1" w:rsidRDefault="00AA6CEB" w:rsidP="001D0461">
      <w:pPr>
        <w:pStyle w:val="ListParagraph"/>
        <w:numPr>
          <w:ilvl w:val="0"/>
          <w:numId w:val="7"/>
        </w:numPr>
        <w:rPr>
          <w:rFonts w:eastAsiaTheme="majorEastAsia" w:cstheme="majorBidi"/>
          <w:iCs/>
        </w:rPr>
      </w:pPr>
      <w:r w:rsidRPr="006516B1">
        <w:rPr>
          <w:rFonts w:eastAsiaTheme="majorEastAsia" w:cstheme="majorBidi"/>
          <w:iCs/>
        </w:rPr>
        <w:t xml:space="preserve">99% of applications have institutions </w:t>
      </w:r>
      <w:proofErr w:type="gramStart"/>
      <w:r w:rsidRPr="006516B1">
        <w:rPr>
          <w:rFonts w:eastAsiaTheme="majorEastAsia" w:cstheme="majorBidi"/>
          <w:iCs/>
        </w:rPr>
        <w:t>on-board</w:t>
      </w:r>
      <w:proofErr w:type="gramEnd"/>
      <w:r w:rsidRPr="006516B1">
        <w:rPr>
          <w:rFonts w:eastAsiaTheme="majorEastAsia" w:cstheme="majorBidi"/>
          <w:iCs/>
        </w:rPr>
        <w:t xml:space="preserve"> in 2025-26</w:t>
      </w:r>
      <w:r w:rsidR="00FE4B65">
        <w:rPr>
          <w:rFonts w:eastAsiaTheme="majorEastAsia" w:cstheme="majorBidi"/>
          <w:iCs/>
        </w:rPr>
        <w:t xml:space="preserve"> (to date)</w:t>
      </w:r>
      <w:r w:rsidRPr="006516B1">
        <w:rPr>
          <w:rFonts w:eastAsiaTheme="majorEastAsia" w:cstheme="majorBidi"/>
          <w:iCs/>
        </w:rPr>
        <w:t>.</w:t>
      </w:r>
    </w:p>
    <w:p w14:paraId="46388854" w14:textId="77777777" w:rsidR="001D0461" w:rsidRPr="002A0290" w:rsidRDefault="001D0461" w:rsidP="001D0461">
      <w:pPr>
        <w:rPr>
          <w:rFonts w:eastAsiaTheme="majorEastAsia" w:cstheme="majorBidi"/>
          <w:iCs/>
        </w:rPr>
      </w:pPr>
      <w:r w:rsidRPr="00A11AE2">
        <w:t xml:space="preserve">Since the beginning of the Scheme, significant progress was made </w:t>
      </w:r>
      <w:r>
        <w:t>to this objective. T</w:t>
      </w:r>
      <w:r w:rsidRPr="00A11AE2">
        <w:t xml:space="preserve">he Scheme delivered on this </w:t>
      </w:r>
      <w:r>
        <w:t>metric</w:t>
      </w:r>
      <w:r w:rsidRPr="00A11AE2">
        <w:t xml:space="preserve"> since 2021-22.</w:t>
      </w:r>
    </w:p>
    <w:p w14:paraId="01D2DB5B" w14:textId="77777777" w:rsidR="001D0461" w:rsidRDefault="001D0461" w:rsidP="001D0461">
      <w:r>
        <w:br w:type="page"/>
      </w:r>
    </w:p>
    <w:p w14:paraId="1135E790" w14:textId="77777777" w:rsidR="001D0461" w:rsidRPr="00C7209B" w:rsidRDefault="001D0461" w:rsidP="001D0461">
      <w:pPr>
        <w:pStyle w:val="Heading3"/>
        <w:spacing w:after="120"/>
        <w:rPr>
          <w:sz w:val="24"/>
          <w:szCs w:val="24"/>
        </w:rPr>
      </w:pPr>
      <w:bookmarkStart w:id="32" w:name="_Toc230098696"/>
      <w:r w:rsidRPr="00C7209B">
        <w:rPr>
          <w:sz w:val="24"/>
          <w:szCs w:val="24"/>
        </w:rPr>
        <w:lastRenderedPageBreak/>
        <w:t>2</w:t>
      </w:r>
      <w:r>
        <w:rPr>
          <w:sz w:val="24"/>
          <w:szCs w:val="24"/>
        </w:rPr>
        <w:t>c</w:t>
      </w:r>
      <w:r w:rsidRPr="00C7209B">
        <w:rPr>
          <w:sz w:val="24"/>
          <w:szCs w:val="24"/>
        </w:rPr>
        <w:t xml:space="preserve">. </w:t>
      </w:r>
      <w:r>
        <w:rPr>
          <w:sz w:val="24"/>
          <w:szCs w:val="24"/>
        </w:rPr>
        <w:t>Quality Decision Making</w:t>
      </w:r>
      <w:bookmarkEnd w:id="32"/>
    </w:p>
    <w:p w14:paraId="5C0126F3" w14:textId="77777777" w:rsidR="001D0461" w:rsidRPr="00C123B6" w:rsidRDefault="001D0461" w:rsidP="001D0461">
      <w:pPr>
        <w:rPr>
          <w:rFonts w:cs="Arial"/>
          <w:iCs/>
        </w:rPr>
      </w:pPr>
      <w:r w:rsidRPr="001F21AF">
        <w:rPr>
          <w:b/>
          <w:bCs/>
        </w:rPr>
        <w:t>Metric</w:t>
      </w:r>
      <w:r>
        <w:t xml:space="preserve">: </w:t>
      </w:r>
      <w:r w:rsidRPr="006C7286">
        <w:rPr>
          <w:i/>
        </w:rPr>
        <w:t xml:space="preserve">The Scheme will maintain quality </w:t>
      </w:r>
      <w:r w:rsidRPr="006516B1">
        <w:rPr>
          <w:i/>
        </w:rPr>
        <w:t xml:space="preserve">decision-making, with </w:t>
      </w:r>
      <w:r w:rsidRPr="006516B1">
        <w:rPr>
          <w:rFonts w:cs="Arial"/>
          <w:b/>
          <w:i/>
        </w:rPr>
        <w:t>≥</w:t>
      </w:r>
      <w:r w:rsidRPr="006516B1">
        <w:rPr>
          <w:b/>
          <w:i/>
        </w:rPr>
        <w:t>95%</w:t>
      </w:r>
      <w:r w:rsidRPr="006516B1">
        <w:rPr>
          <w:i/>
        </w:rPr>
        <w:t xml:space="preserve"> of initial</w:t>
      </w:r>
      <w:r w:rsidRPr="006C7286">
        <w:rPr>
          <w:i/>
        </w:rPr>
        <w:t xml:space="preserve"> determinations reflecting the </w:t>
      </w:r>
      <w:proofErr w:type="gramStart"/>
      <w:r w:rsidRPr="006C7286">
        <w:rPr>
          <w:i/>
        </w:rPr>
        <w:t>final outcome</w:t>
      </w:r>
      <w:proofErr w:type="gramEnd"/>
      <w:r w:rsidRPr="00C123B6">
        <w:rPr>
          <w:iCs/>
        </w:rPr>
        <w:t>.</w:t>
      </w:r>
    </w:p>
    <w:p w14:paraId="33402C7E" w14:textId="239B9EE2" w:rsidR="001D0461" w:rsidRPr="006516B1" w:rsidRDefault="001D0461" w:rsidP="001D0461">
      <w:r w:rsidRPr="00351F81">
        <w:t xml:space="preserve">The </w:t>
      </w:r>
      <w:r w:rsidRPr="006516B1">
        <w:t xml:space="preserve">following data was accurate as </w:t>
      </w:r>
      <w:proofErr w:type="gramStart"/>
      <w:r w:rsidRPr="006516B1">
        <w:t>at</w:t>
      </w:r>
      <w:proofErr w:type="gramEnd"/>
      <w:r w:rsidRPr="006516B1">
        <w:t xml:space="preserve"> 3</w:t>
      </w:r>
      <w:r w:rsidR="00204062" w:rsidRPr="006516B1">
        <w:t>1 December</w:t>
      </w:r>
      <w:r w:rsidRPr="006516B1">
        <w:t xml:space="preserve"> 2025 and captures how the Scheme has delivered on the Quality Decision Making metric. </w:t>
      </w:r>
    </w:p>
    <w:p w14:paraId="3FF7AD0C" w14:textId="1259DC26" w:rsidR="001D0461" w:rsidRDefault="001D0461" w:rsidP="001D0461">
      <w:pPr>
        <w:spacing w:after="0"/>
      </w:pPr>
      <w:r w:rsidRPr="006516B1">
        <w:rPr>
          <w:b/>
          <w:bCs/>
        </w:rPr>
        <w:t xml:space="preserve">Figure </w:t>
      </w:r>
      <w:r w:rsidR="00387EA9" w:rsidRPr="006516B1">
        <w:rPr>
          <w:b/>
          <w:bCs/>
        </w:rPr>
        <w:t>5</w:t>
      </w:r>
      <w:r w:rsidRPr="006516B1">
        <w:t xml:space="preserve"> – Percentage of initial determinations reflecting the </w:t>
      </w:r>
      <w:proofErr w:type="gramStart"/>
      <w:r w:rsidR="000C529D" w:rsidRPr="006516B1">
        <w:t xml:space="preserve">final </w:t>
      </w:r>
      <w:r w:rsidRPr="006516B1">
        <w:t>outcome</w:t>
      </w:r>
      <w:proofErr w:type="gramEnd"/>
      <w:r w:rsidRPr="006516B1">
        <w:t>.</w:t>
      </w:r>
    </w:p>
    <w:p w14:paraId="1BB685F2" w14:textId="44039514" w:rsidR="001D0461" w:rsidRDefault="006516B1" w:rsidP="001D0461">
      <w:pPr>
        <w:spacing w:after="0"/>
        <w:rPr>
          <w:sz w:val="23"/>
          <w:szCs w:val="23"/>
        </w:rPr>
      </w:pPr>
      <w:r>
        <w:rPr>
          <w:noProof/>
          <w14:ligatures w14:val="standardContextual"/>
        </w:rPr>
        <w:drawing>
          <wp:inline distT="0" distB="0" distL="0" distR="0" wp14:anchorId="587AFC20" wp14:editId="4577442C">
            <wp:extent cx="5577900" cy="2788900"/>
            <wp:effectExtent l="0" t="0" r="3810" b="12065"/>
            <wp:docPr id="1467489934" name="Chart 1" descr="Chart demonstrates the proportion of initial determinations that are upheld by the final determination, by financial year. All results are above the target of 95%.">
              <a:extLst xmlns:a="http://schemas.openxmlformats.org/drawingml/2006/main">
                <a:ext uri="{FF2B5EF4-FFF2-40B4-BE49-F238E27FC236}">
                  <a16:creationId xmlns:a16="http://schemas.microsoft.com/office/drawing/2014/main" id="{39F6DD3A-3161-42A2-BC28-17B472D0BE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43D4D8F" w14:textId="77777777" w:rsidR="001D0461" w:rsidRDefault="001D0461" w:rsidP="001D0461">
      <w:pPr>
        <w:spacing w:after="0"/>
        <w:rPr>
          <w:sz w:val="23"/>
          <w:szCs w:val="23"/>
        </w:rPr>
      </w:pPr>
    </w:p>
    <w:p w14:paraId="7ED54D13" w14:textId="77777777" w:rsidR="001D0461" w:rsidRPr="006516B1" w:rsidRDefault="001D0461" w:rsidP="001D0461">
      <w:pPr>
        <w:spacing w:after="0"/>
      </w:pPr>
      <w:r w:rsidRPr="006516B1">
        <w:rPr>
          <w:sz w:val="23"/>
          <w:szCs w:val="23"/>
        </w:rPr>
        <w:t>Results:</w:t>
      </w:r>
    </w:p>
    <w:p w14:paraId="57FAC1D8" w14:textId="77777777" w:rsidR="001D0461" w:rsidRPr="006516B1" w:rsidRDefault="001D0461" w:rsidP="001D0461">
      <w:pPr>
        <w:pStyle w:val="ListParagraph"/>
        <w:numPr>
          <w:ilvl w:val="0"/>
          <w:numId w:val="9"/>
        </w:numPr>
      </w:pPr>
      <w:r w:rsidRPr="006516B1">
        <w:rPr>
          <w:rFonts w:eastAsiaTheme="majorEastAsia" w:cstheme="majorBidi"/>
          <w:iCs/>
        </w:rPr>
        <w:t xml:space="preserve">99%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2019-20</w:t>
      </w:r>
    </w:p>
    <w:p w14:paraId="49EB63B2" w14:textId="77777777" w:rsidR="001D0461" w:rsidRPr="006516B1" w:rsidRDefault="001D0461" w:rsidP="001D0461">
      <w:pPr>
        <w:pStyle w:val="ListParagraph"/>
        <w:numPr>
          <w:ilvl w:val="0"/>
          <w:numId w:val="9"/>
        </w:numPr>
      </w:pPr>
      <w:r w:rsidRPr="006516B1">
        <w:rPr>
          <w:rFonts w:eastAsiaTheme="majorEastAsia" w:cstheme="majorBidi"/>
          <w:iCs/>
        </w:rPr>
        <w:t xml:space="preserve">99%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2020-21</w:t>
      </w:r>
    </w:p>
    <w:p w14:paraId="665C708A" w14:textId="77777777" w:rsidR="001D0461" w:rsidRPr="006516B1" w:rsidRDefault="001D0461" w:rsidP="001D0461">
      <w:pPr>
        <w:pStyle w:val="ListParagraph"/>
        <w:numPr>
          <w:ilvl w:val="0"/>
          <w:numId w:val="9"/>
        </w:numPr>
      </w:pPr>
      <w:r w:rsidRPr="006516B1">
        <w:rPr>
          <w:rFonts w:eastAsiaTheme="majorEastAsia" w:cstheme="majorBidi"/>
          <w:iCs/>
        </w:rPr>
        <w:t xml:space="preserve">99%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2021-22 </w:t>
      </w:r>
    </w:p>
    <w:p w14:paraId="035645EA" w14:textId="77777777" w:rsidR="001D0461" w:rsidRPr="006516B1" w:rsidRDefault="001D0461" w:rsidP="001D0461">
      <w:pPr>
        <w:pStyle w:val="ListParagraph"/>
        <w:numPr>
          <w:ilvl w:val="0"/>
          <w:numId w:val="9"/>
        </w:numPr>
      </w:pPr>
      <w:r w:rsidRPr="006516B1">
        <w:rPr>
          <w:rFonts w:eastAsiaTheme="majorEastAsia" w:cstheme="majorBidi"/>
          <w:iCs/>
        </w:rPr>
        <w:t xml:space="preserve">99%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2022-23</w:t>
      </w:r>
    </w:p>
    <w:p w14:paraId="1FC4C514" w14:textId="77777777" w:rsidR="001D0461" w:rsidRPr="006516B1" w:rsidRDefault="001D0461" w:rsidP="001D0461">
      <w:pPr>
        <w:pStyle w:val="ListParagraph"/>
        <w:numPr>
          <w:ilvl w:val="0"/>
          <w:numId w:val="9"/>
        </w:numPr>
      </w:pPr>
      <w:r w:rsidRPr="006516B1">
        <w:rPr>
          <w:rFonts w:eastAsiaTheme="majorEastAsia" w:cstheme="majorBidi"/>
          <w:iCs/>
        </w:rPr>
        <w:t xml:space="preserve">100%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2023-24</w:t>
      </w:r>
    </w:p>
    <w:p w14:paraId="5AC9440A" w14:textId="14C8A817" w:rsidR="001D0461" w:rsidRPr="006516B1" w:rsidRDefault="007601C6" w:rsidP="001D0461">
      <w:pPr>
        <w:pStyle w:val="ListParagraph"/>
        <w:numPr>
          <w:ilvl w:val="0"/>
          <w:numId w:val="9"/>
        </w:numPr>
      </w:pPr>
      <w:r w:rsidRPr="006516B1">
        <w:rPr>
          <w:rFonts w:eastAsiaTheme="majorEastAsia" w:cstheme="majorBidi"/>
          <w:iCs/>
        </w:rPr>
        <w:t>99</w:t>
      </w:r>
      <w:r w:rsidR="001D0461" w:rsidRPr="006516B1">
        <w:rPr>
          <w:rFonts w:eastAsiaTheme="majorEastAsia" w:cstheme="majorBidi"/>
          <w:iCs/>
        </w:rPr>
        <w:t xml:space="preserve">% of initial determinations reflect the </w:t>
      </w:r>
      <w:proofErr w:type="gramStart"/>
      <w:r w:rsidR="001D0461" w:rsidRPr="006516B1">
        <w:rPr>
          <w:rFonts w:eastAsiaTheme="majorEastAsia" w:cstheme="majorBidi"/>
          <w:iCs/>
        </w:rPr>
        <w:t>final outcome</w:t>
      </w:r>
      <w:proofErr w:type="gramEnd"/>
      <w:r w:rsidR="001D0461" w:rsidRPr="006516B1">
        <w:rPr>
          <w:rFonts w:eastAsiaTheme="majorEastAsia" w:cstheme="majorBidi"/>
          <w:iCs/>
        </w:rPr>
        <w:t xml:space="preserve"> in 2024-25</w:t>
      </w:r>
    </w:p>
    <w:p w14:paraId="26B3ECAB" w14:textId="78E8CC2D" w:rsidR="000C529D" w:rsidRPr="006516B1" w:rsidRDefault="001D3847" w:rsidP="001D0461">
      <w:pPr>
        <w:pStyle w:val="ListParagraph"/>
        <w:numPr>
          <w:ilvl w:val="0"/>
          <w:numId w:val="9"/>
        </w:numPr>
      </w:pPr>
      <w:r w:rsidRPr="006516B1">
        <w:rPr>
          <w:rFonts w:eastAsiaTheme="majorEastAsia" w:cstheme="majorBidi"/>
          <w:iCs/>
        </w:rPr>
        <w:t xml:space="preserve">99% of initial determinations reflect the </w:t>
      </w:r>
      <w:proofErr w:type="gramStart"/>
      <w:r w:rsidRPr="006516B1">
        <w:rPr>
          <w:rFonts w:eastAsiaTheme="majorEastAsia" w:cstheme="majorBidi"/>
          <w:iCs/>
        </w:rPr>
        <w:t>final outcome</w:t>
      </w:r>
      <w:proofErr w:type="gramEnd"/>
      <w:r w:rsidRPr="006516B1">
        <w:rPr>
          <w:rFonts w:eastAsiaTheme="majorEastAsia" w:cstheme="majorBidi"/>
          <w:iCs/>
        </w:rPr>
        <w:t xml:space="preserve"> in 2025-26 (to date).</w:t>
      </w:r>
    </w:p>
    <w:p w14:paraId="7644212D" w14:textId="77777777" w:rsidR="001D0461" w:rsidRPr="006C7286" w:rsidRDefault="001D0461" w:rsidP="001D0461">
      <w:r w:rsidRPr="006516B1">
        <w:t>The Scheme consistently delivered on this metric with at least a 99% success rate. This measure of quality decision making considered the outcomes of the review process. Less than 1% of all initial determinations were changed at the review stage.</w:t>
      </w:r>
    </w:p>
    <w:p w14:paraId="2EB9AA9E" w14:textId="77777777" w:rsidR="001D0461" w:rsidRDefault="001D0461" w:rsidP="001D0461">
      <w:pPr>
        <w:rPr>
          <w:rFonts w:eastAsiaTheme="majorEastAsia" w:cstheme="majorBidi"/>
          <w:b/>
          <w:bCs/>
          <w:sz w:val="26"/>
          <w:szCs w:val="26"/>
        </w:rPr>
      </w:pPr>
      <w:r>
        <w:br w:type="page"/>
      </w:r>
    </w:p>
    <w:p w14:paraId="23D33F33" w14:textId="4E6C0811" w:rsidR="001D0461" w:rsidRPr="002A1E90" w:rsidRDefault="001D0461" w:rsidP="001D0461">
      <w:pPr>
        <w:pStyle w:val="Heading2"/>
        <w:spacing w:before="0" w:after="120"/>
        <w:rPr>
          <w:sz w:val="28"/>
          <w:szCs w:val="28"/>
        </w:rPr>
      </w:pPr>
      <w:bookmarkStart w:id="33" w:name="_Toc230098697"/>
      <w:bookmarkStart w:id="34" w:name="_Hlk190079935"/>
      <w:r w:rsidRPr="002A1E90">
        <w:rPr>
          <w:sz w:val="28"/>
          <w:szCs w:val="28"/>
        </w:rPr>
        <w:lastRenderedPageBreak/>
        <w:t>Priority Area 3: Equity of Access</w:t>
      </w:r>
      <w:bookmarkEnd w:id="33"/>
    </w:p>
    <w:p w14:paraId="7A2C4C29" w14:textId="77777777" w:rsidR="001D0461" w:rsidRDefault="001D0461" w:rsidP="001D0461">
      <w:pPr>
        <w:pStyle w:val="Heading3"/>
        <w:rPr>
          <w:sz w:val="24"/>
          <w:szCs w:val="24"/>
        </w:rPr>
      </w:pPr>
      <w:bookmarkStart w:id="35" w:name="_Toc230098698"/>
      <w:r w:rsidRPr="00770921">
        <w:rPr>
          <w:sz w:val="24"/>
          <w:szCs w:val="24"/>
        </w:rPr>
        <w:t>3a. Scheme Accessibility</w:t>
      </w:r>
      <w:bookmarkEnd w:id="35"/>
    </w:p>
    <w:p w14:paraId="1072A96C" w14:textId="77777777" w:rsidR="001D0461" w:rsidRPr="00C123B6" w:rsidRDefault="001D0461" w:rsidP="001D0461">
      <w:pPr>
        <w:rPr>
          <w:rFonts w:cs="Arial"/>
          <w:iCs/>
        </w:rPr>
      </w:pPr>
      <w:r w:rsidRPr="001F21AF">
        <w:rPr>
          <w:b/>
          <w:bCs/>
        </w:rPr>
        <w:t>Metric</w:t>
      </w:r>
      <w:r>
        <w:t xml:space="preserve">: </w:t>
      </w:r>
      <w:r w:rsidRPr="001F21AF">
        <w:rPr>
          <w:i/>
        </w:rPr>
        <w:t>The number of survivors who successfully lodge an application with the Scheme each year, published according to survivor demographics, such as participation by First Nations / rural and remote</w:t>
      </w:r>
      <w:r>
        <w:rPr>
          <w:rStyle w:val="FootnoteReference"/>
          <w:i/>
        </w:rPr>
        <w:footnoteReference w:id="4"/>
      </w:r>
      <w:r w:rsidRPr="001F21AF">
        <w:rPr>
          <w:i/>
        </w:rPr>
        <w:t xml:space="preserve"> / people with disability</w:t>
      </w:r>
      <w:r>
        <w:rPr>
          <w:rStyle w:val="FootnoteReference"/>
          <w:i/>
        </w:rPr>
        <w:footnoteReference w:id="5"/>
      </w:r>
      <w:r w:rsidRPr="001F21AF">
        <w:rPr>
          <w:i/>
        </w:rPr>
        <w:t xml:space="preserve"> / </w:t>
      </w:r>
      <w:r>
        <w:rPr>
          <w:i/>
        </w:rPr>
        <w:t xml:space="preserve">the </w:t>
      </w:r>
      <w:r w:rsidRPr="001F21AF">
        <w:rPr>
          <w:i/>
        </w:rPr>
        <w:t>elderly</w:t>
      </w:r>
      <w:r>
        <w:rPr>
          <w:rStyle w:val="FootnoteReference"/>
          <w:i/>
        </w:rPr>
        <w:footnoteReference w:id="6"/>
      </w:r>
      <w:r w:rsidRPr="001F21AF">
        <w:rPr>
          <w:i/>
        </w:rPr>
        <w:t>.</w:t>
      </w:r>
    </w:p>
    <w:p w14:paraId="19DA56B3" w14:textId="6E84DAA2" w:rsidR="001D0461" w:rsidRDefault="001D0461" w:rsidP="001D0461">
      <w:pPr>
        <w:spacing w:after="120"/>
      </w:pPr>
      <w:r w:rsidRPr="00D1602B">
        <w:t xml:space="preserve">As </w:t>
      </w:r>
      <w:proofErr w:type="gramStart"/>
      <w:r w:rsidRPr="00770921">
        <w:t>at</w:t>
      </w:r>
      <w:proofErr w:type="gramEnd"/>
      <w:r w:rsidRPr="00770921">
        <w:t xml:space="preserve"> 3</w:t>
      </w:r>
      <w:r w:rsidR="00204062" w:rsidRPr="00770921">
        <w:t xml:space="preserve">1 December </w:t>
      </w:r>
      <w:r w:rsidRPr="00770921">
        <w:t>2025 the</w:t>
      </w:r>
      <w:r w:rsidRPr="003E2370">
        <w:t xml:space="preserve"> demographics of applicants over the life of the Scheme wer</w:t>
      </w:r>
      <w:r>
        <w:t>e:</w:t>
      </w:r>
    </w:p>
    <w:p w14:paraId="683CC8EC" w14:textId="77777777" w:rsidR="001D0461" w:rsidRDefault="001D0461" w:rsidP="001D0461">
      <w:pPr>
        <w:spacing w:after="0"/>
        <w:sectPr w:rsidR="001D0461" w:rsidSect="001D0461">
          <w:headerReference w:type="default" r:id="rId17"/>
          <w:footerReference w:type="default" r:id="rId18"/>
          <w:headerReference w:type="first" r:id="rId19"/>
          <w:footerReference w:type="first" r:id="rId20"/>
          <w:pgSz w:w="11906" w:h="16838"/>
          <w:pgMar w:top="2132" w:right="1440" w:bottom="1440" w:left="1440" w:header="567" w:footer="708" w:gutter="0"/>
          <w:pgNumType w:start="0"/>
          <w:cols w:space="720"/>
          <w:titlePg/>
          <w:docGrid w:linePitch="299"/>
        </w:sectPr>
      </w:pPr>
    </w:p>
    <w:p w14:paraId="7EF4F2E7" w14:textId="77777777" w:rsidR="001D0461" w:rsidRDefault="001D0461" w:rsidP="009C0694">
      <w:pPr>
        <w:spacing w:before="240" w:after="0"/>
      </w:pPr>
      <w:r w:rsidRPr="00770921">
        <w:rPr>
          <w:b/>
          <w:bCs/>
        </w:rPr>
        <w:t>Figure 6</w:t>
      </w:r>
      <w:r w:rsidRPr="00770921">
        <w:t xml:space="preserve"> - Gender</w:t>
      </w:r>
      <w:r>
        <w:t xml:space="preserve"> of applicants</w:t>
      </w:r>
    </w:p>
    <w:p w14:paraId="16177AB6" w14:textId="23A835E6" w:rsidR="001D0461" w:rsidRDefault="001D0461" w:rsidP="001D0461">
      <w:r>
        <w:t xml:space="preserve"> </w:t>
      </w:r>
      <w:r w:rsidR="009C0694">
        <w:rPr>
          <w:noProof/>
          <w14:ligatures w14:val="standardContextual"/>
        </w:rPr>
        <w:drawing>
          <wp:inline distT="0" distB="0" distL="0" distR="0" wp14:anchorId="2CBBCC9A" wp14:editId="0B7F1964">
            <wp:extent cx="2124000" cy="2181600"/>
            <wp:effectExtent l="0" t="0" r="10160" b="9525"/>
            <wp:docPr id="195586020" name="Chart 1" descr="Gender of applicants. 62% male, 38% female and other.">
              <a:extLst xmlns:a="http://schemas.openxmlformats.org/drawingml/2006/main">
                <a:ext uri="{FF2B5EF4-FFF2-40B4-BE49-F238E27FC236}">
                  <a16:creationId xmlns:a16="http://schemas.microsoft.com/office/drawing/2014/main" id="{9625E31B-FA29-450C-87A6-CD62E26982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CB245CA" w14:textId="2F71750A" w:rsidR="001D0461" w:rsidRDefault="001D0461" w:rsidP="009C0694">
      <w:pPr>
        <w:spacing w:before="360" w:after="0"/>
        <w:rPr>
          <w:b/>
          <w:bCs/>
        </w:rPr>
      </w:pPr>
      <w:r w:rsidRPr="00770921">
        <w:rPr>
          <w:b/>
          <w:bCs/>
        </w:rPr>
        <w:t>Figure 7</w:t>
      </w:r>
      <w:r w:rsidRPr="00770921">
        <w:t xml:space="preserve"> –</w:t>
      </w:r>
      <w:r>
        <w:t xml:space="preserve"> Disability status</w:t>
      </w:r>
      <w:r w:rsidR="004342C5">
        <w:rPr>
          <w:b/>
          <w:bCs/>
        </w:rPr>
        <w:t xml:space="preserve"> </w:t>
      </w:r>
      <w:r w:rsidR="009C0694">
        <w:rPr>
          <w:noProof/>
          <w14:ligatures w14:val="standardContextual"/>
        </w:rPr>
        <w:drawing>
          <wp:inline distT="0" distB="0" distL="0" distR="0" wp14:anchorId="2BAA6BB6" wp14:editId="115A5CB2">
            <wp:extent cx="2124000" cy="2181600"/>
            <wp:effectExtent l="0" t="0" r="10160" b="9525"/>
            <wp:docPr id="1170432825" name="Chart 1" descr="Disability status of applicants. 34% indicate disability.">
              <a:extLst xmlns:a="http://schemas.openxmlformats.org/drawingml/2006/main">
                <a:ext uri="{FF2B5EF4-FFF2-40B4-BE49-F238E27FC236}">
                  <a16:creationId xmlns:a16="http://schemas.microsoft.com/office/drawing/2014/main" id="{EADEA5D3-20FB-4274-AE37-225D3682C79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A3851F4" w14:textId="6778005A" w:rsidR="001D0461" w:rsidRDefault="001D0461" w:rsidP="003A5B4A">
      <w:pPr>
        <w:spacing w:before="240" w:after="0"/>
        <w:rPr>
          <w:b/>
          <w:bCs/>
        </w:rPr>
      </w:pPr>
      <w:r w:rsidRPr="00770921">
        <w:rPr>
          <w:b/>
          <w:bCs/>
        </w:rPr>
        <w:t xml:space="preserve">Figure 8 </w:t>
      </w:r>
      <w:r w:rsidRPr="00770921">
        <w:t>– Indigenous</w:t>
      </w:r>
      <w:r>
        <w:t xml:space="preserve"> status </w:t>
      </w:r>
      <w:r w:rsidR="009C0694">
        <w:rPr>
          <w:noProof/>
          <w14:ligatures w14:val="standardContextual"/>
        </w:rPr>
        <w:drawing>
          <wp:inline distT="0" distB="0" distL="0" distR="0" wp14:anchorId="41E7BFDD" wp14:editId="25FDB6CB">
            <wp:extent cx="2124000" cy="2181600"/>
            <wp:effectExtent l="0" t="0" r="10160" b="9525"/>
            <wp:docPr id="1664962671" name="Chart 1" descr="Indigenous status of applicants. 35% identify as First Nations.">
              <a:extLst xmlns:a="http://schemas.openxmlformats.org/drawingml/2006/main">
                <a:ext uri="{FF2B5EF4-FFF2-40B4-BE49-F238E27FC236}">
                  <a16:creationId xmlns:a16="http://schemas.microsoft.com/office/drawing/2014/main" id="{60C3769E-9359-48ED-89DA-F0D4778E05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4F392E" w14:textId="1F588D90" w:rsidR="001D0461" w:rsidRDefault="001D0461" w:rsidP="003A5B4A">
      <w:pPr>
        <w:spacing w:before="400" w:after="0"/>
        <w:rPr>
          <w:b/>
          <w:bCs/>
        </w:rPr>
      </w:pPr>
      <w:r w:rsidRPr="00770921">
        <w:rPr>
          <w:b/>
          <w:bCs/>
        </w:rPr>
        <w:t>Figure 9 –</w:t>
      </w:r>
      <w:r>
        <w:rPr>
          <w:b/>
          <w:bCs/>
        </w:rPr>
        <w:t xml:space="preserve"> </w:t>
      </w:r>
      <w:r>
        <w:t>Application method</w:t>
      </w:r>
    </w:p>
    <w:p w14:paraId="4F5127B3" w14:textId="3196D5F8" w:rsidR="009C0694" w:rsidRDefault="009C0694" w:rsidP="001D0461">
      <w:pPr>
        <w:spacing w:after="0"/>
        <w:rPr>
          <w:b/>
          <w:bCs/>
        </w:rPr>
        <w:sectPr w:rsidR="009C0694" w:rsidSect="001D0461">
          <w:type w:val="continuous"/>
          <w:pgSz w:w="11906" w:h="16838"/>
          <w:pgMar w:top="2132" w:right="1440" w:bottom="1440" w:left="1440" w:header="1276" w:footer="708" w:gutter="0"/>
          <w:cols w:num="2" w:space="708"/>
        </w:sectPr>
      </w:pPr>
      <w:r>
        <w:rPr>
          <w:noProof/>
          <w14:ligatures w14:val="standardContextual"/>
        </w:rPr>
        <w:drawing>
          <wp:inline distT="0" distB="0" distL="0" distR="0" wp14:anchorId="029B46D1" wp14:editId="52A2CF10">
            <wp:extent cx="2124000" cy="2181600"/>
            <wp:effectExtent l="0" t="0" r="10160" b="9525"/>
            <wp:docPr id="964255854" name="Chart 1" descr="Application method. 45% paper applications and 55% online applications.">
              <a:extLst xmlns:a="http://schemas.openxmlformats.org/drawingml/2006/main">
                <a:ext uri="{FF2B5EF4-FFF2-40B4-BE49-F238E27FC236}">
                  <a16:creationId xmlns:a16="http://schemas.microsoft.com/office/drawing/2014/main" id="{39FCBA25-AF26-4C73-88FE-3095DD99D9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6CDF95" w14:textId="77777777" w:rsidR="001D0461" w:rsidRDefault="001D0461" w:rsidP="001D0461">
      <w:pPr>
        <w:spacing w:after="120"/>
        <w:sectPr w:rsidR="001D0461" w:rsidSect="001D0461">
          <w:headerReference w:type="even" r:id="rId25"/>
          <w:headerReference w:type="default" r:id="rId26"/>
          <w:footerReference w:type="even" r:id="rId27"/>
          <w:footerReference w:type="default" r:id="rId28"/>
          <w:headerReference w:type="first" r:id="rId29"/>
          <w:footerReference w:type="first" r:id="rId30"/>
          <w:type w:val="continuous"/>
          <w:pgSz w:w="11906" w:h="16838"/>
          <w:pgMar w:top="2128" w:right="1440" w:bottom="1440" w:left="1440" w:header="1276" w:footer="573" w:gutter="0"/>
          <w:cols w:space="708"/>
          <w:titlePg/>
          <w:docGrid w:linePitch="360"/>
        </w:sectPr>
      </w:pPr>
    </w:p>
    <w:bookmarkEnd w:id="34"/>
    <w:p w14:paraId="4A1C1CAE" w14:textId="77777777" w:rsidR="00962079" w:rsidRDefault="00962079" w:rsidP="001D0461"/>
    <w:p w14:paraId="14BFD228" w14:textId="77777777" w:rsidR="00962079" w:rsidRDefault="00962079" w:rsidP="001D0461"/>
    <w:p w14:paraId="26CA4400" w14:textId="33851D3F" w:rsidR="001D0461" w:rsidRPr="0069651E" w:rsidRDefault="001D0461" w:rsidP="001D0461">
      <w:r w:rsidRPr="0069651E">
        <w:t xml:space="preserve">Scheme accessibility over the life of the Scheme as </w:t>
      </w:r>
      <w:proofErr w:type="gramStart"/>
      <w:r w:rsidRPr="0069651E">
        <w:t>at</w:t>
      </w:r>
      <w:proofErr w:type="gramEnd"/>
      <w:r w:rsidRPr="0069651E">
        <w:t xml:space="preserve"> 3</w:t>
      </w:r>
      <w:r w:rsidR="00204062" w:rsidRPr="0069651E">
        <w:t>1 December</w:t>
      </w:r>
      <w:r w:rsidRPr="0069651E">
        <w:t xml:space="preserve"> 2025:</w:t>
      </w:r>
    </w:p>
    <w:p w14:paraId="389F8AFE" w14:textId="5E76E54D" w:rsidR="001D0461" w:rsidRPr="0069651E" w:rsidRDefault="001D0461" w:rsidP="001D0461">
      <w:pPr>
        <w:pStyle w:val="ListParagraph"/>
        <w:numPr>
          <w:ilvl w:val="0"/>
          <w:numId w:val="13"/>
        </w:numPr>
        <w:rPr>
          <w:b/>
          <w:bCs/>
        </w:rPr>
      </w:pPr>
      <w:r w:rsidRPr="0069651E">
        <w:rPr>
          <w:b/>
          <w:bCs/>
        </w:rPr>
        <w:t>1</w:t>
      </w:r>
      <w:r w:rsidR="00A02F47" w:rsidRPr="0069651E">
        <w:rPr>
          <w:b/>
          <w:bCs/>
        </w:rPr>
        <w:t>1</w:t>
      </w:r>
      <w:r w:rsidRPr="0069651E">
        <w:rPr>
          <w:b/>
          <w:bCs/>
        </w:rPr>
        <w:t xml:space="preserve">% </w:t>
      </w:r>
      <w:r w:rsidRPr="0069651E">
        <w:t>of applicants were elderly</w:t>
      </w:r>
      <w:r w:rsidRPr="0069651E">
        <w:rPr>
          <w:rStyle w:val="FootnoteReference"/>
          <w:b/>
          <w:bCs/>
        </w:rPr>
        <w:footnoteReference w:id="7"/>
      </w:r>
    </w:p>
    <w:p w14:paraId="5BA407B1" w14:textId="0489B1AA" w:rsidR="001D0461" w:rsidRPr="0069651E" w:rsidRDefault="001D0461" w:rsidP="001D0461">
      <w:pPr>
        <w:pStyle w:val="ListParagraph"/>
        <w:numPr>
          <w:ilvl w:val="0"/>
          <w:numId w:val="13"/>
        </w:numPr>
        <w:rPr>
          <w:b/>
          <w:bCs/>
        </w:rPr>
      </w:pPr>
      <w:r w:rsidRPr="0069651E">
        <w:rPr>
          <w:b/>
          <w:bCs/>
        </w:rPr>
        <w:t>35%</w:t>
      </w:r>
      <w:r w:rsidRPr="0069651E">
        <w:t xml:space="preserve"> of applicants identify as </w:t>
      </w:r>
      <w:r w:rsidR="001E21EC" w:rsidRPr="0069651E">
        <w:t>First Nations People</w:t>
      </w:r>
    </w:p>
    <w:p w14:paraId="3EC7EDD6" w14:textId="77777777" w:rsidR="001D0461" w:rsidRPr="0069651E" w:rsidRDefault="001D0461" w:rsidP="001D0461">
      <w:pPr>
        <w:pStyle w:val="ListParagraph"/>
        <w:numPr>
          <w:ilvl w:val="0"/>
          <w:numId w:val="13"/>
        </w:numPr>
        <w:rPr>
          <w:b/>
          <w:bCs/>
        </w:rPr>
      </w:pPr>
      <w:r w:rsidRPr="0069651E">
        <w:rPr>
          <w:b/>
          <w:bCs/>
        </w:rPr>
        <w:t>34%</w:t>
      </w:r>
      <w:r w:rsidRPr="0069651E">
        <w:t xml:space="preserve"> of applicants self-identify as living with a disability</w:t>
      </w:r>
      <w:r w:rsidRPr="0069651E">
        <w:rPr>
          <w:rStyle w:val="FootnoteReference"/>
          <w:b/>
          <w:bCs/>
        </w:rPr>
        <w:footnoteReference w:id="8"/>
      </w:r>
    </w:p>
    <w:p w14:paraId="16FC1119" w14:textId="77777777" w:rsidR="001D0461" w:rsidRPr="0069651E" w:rsidRDefault="001D0461" w:rsidP="001D0461">
      <w:pPr>
        <w:pStyle w:val="ListParagraph"/>
        <w:numPr>
          <w:ilvl w:val="0"/>
          <w:numId w:val="13"/>
        </w:numPr>
        <w:rPr>
          <w:b/>
          <w:bCs/>
        </w:rPr>
      </w:pPr>
      <w:r w:rsidRPr="0069651E">
        <w:rPr>
          <w:b/>
          <w:bCs/>
        </w:rPr>
        <w:t>42%</w:t>
      </w:r>
      <w:r w:rsidRPr="0069651E">
        <w:t xml:space="preserve"> of applicants lived in a rural or remote</w:t>
      </w:r>
      <w:r w:rsidRPr="0069651E">
        <w:rPr>
          <w:rStyle w:val="FootnoteReference"/>
        </w:rPr>
        <w:footnoteReference w:id="9"/>
      </w:r>
      <w:r w:rsidRPr="0069651E">
        <w:t xml:space="preserve"> location</w:t>
      </w:r>
    </w:p>
    <w:p w14:paraId="5F28A434" w14:textId="4CA5BC67" w:rsidR="001D0461" w:rsidRPr="0069651E" w:rsidRDefault="001D0461" w:rsidP="001D0461">
      <w:r w:rsidRPr="0069651E">
        <w:t xml:space="preserve">State of Residence of applicants as </w:t>
      </w:r>
      <w:proofErr w:type="gramStart"/>
      <w:r w:rsidRPr="0069651E">
        <w:t>at</w:t>
      </w:r>
      <w:proofErr w:type="gramEnd"/>
      <w:r w:rsidRPr="0069651E">
        <w:t xml:space="preserve"> 3</w:t>
      </w:r>
      <w:r w:rsidR="00204062" w:rsidRPr="0069651E">
        <w:t>1 December</w:t>
      </w:r>
      <w:r w:rsidRPr="0069651E">
        <w:t xml:space="preserve"> 2025: </w:t>
      </w:r>
    </w:p>
    <w:p w14:paraId="35303A9B" w14:textId="2BD93580" w:rsidR="001D0461" w:rsidRPr="0069651E" w:rsidRDefault="001D0461" w:rsidP="001D0461">
      <w:pPr>
        <w:pStyle w:val="ListParagraph"/>
        <w:numPr>
          <w:ilvl w:val="0"/>
          <w:numId w:val="10"/>
        </w:numPr>
      </w:pPr>
      <w:r w:rsidRPr="0069651E">
        <w:t xml:space="preserve">National (includes overseas and unspecified numbers): </w:t>
      </w:r>
      <w:r w:rsidR="00F83363" w:rsidRPr="0069651E">
        <w:rPr>
          <w:b/>
          <w:bCs/>
        </w:rPr>
        <w:t>72,335</w:t>
      </w:r>
    </w:p>
    <w:p w14:paraId="16450C60" w14:textId="37C3F309" w:rsidR="001D0461" w:rsidRPr="0069651E" w:rsidRDefault="001D0461" w:rsidP="00D86067">
      <w:pPr>
        <w:pStyle w:val="ListParagraph"/>
        <w:numPr>
          <w:ilvl w:val="1"/>
          <w:numId w:val="10"/>
        </w:numPr>
      </w:pPr>
      <w:r w:rsidRPr="0069651E">
        <w:t xml:space="preserve">Australian Capital Territory: </w:t>
      </w:r>
      <w:r w:rsidR="00F83363" w:rsidRPr="0069651E">
        <w:rPr>
          <w:b/>
          <w:bCs/>
        </w:rPr>
        <w:t>733</w:t>
      </w:r>
      <w:r w:rsidRPr="0069651E">
        <w:rPr>
          <w:b/>
          <w:bCs/>
        </w:rPr>
        <w:t xml:space="preserve"> </w:t>
      </w:r>
    </w:p>
    <w:p w14:paraId="71F87DF6" w14:textId="064C599E" w:rsidR="001D0461" w:rsidRPr="0069651E" w:rsidRDefault="001D0461" w:rsidP="00D86067">
      <w:pPr>
        <w:pStyle w:val="ListParagraph"/>
        <w:numPr>
          <w:ilvl w:val="1"/>
          <w:numId w:val="10"/>
        </w:numPr>
      </w:pPr>
      <w:r w:rsidRPr="0069651E">
        <w:t xml:space="preserve">New South Wales: </w:t>
      </w:r>
      <w:r w:rsidRPr="0069651E">
        <w:rPr>
          <w:b/>
          <w:bCs/>
        </w:rPr>
        <w:t>1</w:t>
      </w:r>
      <w:r w:rsidR="0096176D" w:rsidRPr="0069651E">
        <w:rPr>
          <w:b/>
          <w:bCs/>
        </w:rPr>
        <w:t>6,302</w:t>
      </w:r>
      <w:r w:rsidRPr="0069651E">
        <w:t xml:space="preserve"> </w:t>
      </w:r>
    </w:p>
    <w:p w14:paraId="65054452" w14:textId="011BF666" w:rsidR="001D0461" w:rsidRPr="0069651E" w:rsidRDefault="001D0461" w:rsidP="00D86067">
      <w:pPr>
        <w:pStyle w:val="ListParagraph"/>
        <w:numPr>
          <w:ilvl w:val="1"/>
          <w:numId w:val="10"/>
        </w:numPr>
      </w:pPr>
      <w:r w:rsidRPr="0069651E">
        <w:t xml:space="preserve">Northern Territory: </w:t>
      </w:r>
      <w:r w:rsidR="0096176D" w:rsidRPr="0069651E">
        <w:rPr>
          <w:b/>
          <w:bCs/>
        </w:rPr>
        <w:t>6</w:t>
      </w:r>
      <w:r w:rsidR="0037093D" w:rsidRPr="0069651E">
        <w:rPr>
          <w:b/>
          <w:bCs/>
        </w:rPr>
        <w:t>6</w:t>
      </w:r>
      <w:r w:rsidR="0096176D" w:rsidRPr="0069651E">
        <w:rPr>
          <w:b/>
          <w:bCs/>
        </w:rPr>
        <w:t>5</w:t>
      </w:r>
    </w:p>
    <w:p w14:paraId="161AE4AB" w14:textId="5ED148BB" w:rsidR="001D0461" w:rsidRPr="0069651E" w:rsidRDefault="001D0461" w:rsidP="00D86067">
      <w:pPr>
        <w:pStyle w:val="ListParagraph"/>
        <w:numPr>
          <w:ilvl w:val="1"/>
          <w:numId w:val="10"/>
        </w:numPr>
      </w:pPr>
      <w:r w:rsidRPr="0069651E">
        <w:t xml:space="preserve">Queensland: </w:t>
      </w:r>
      <w:r w:rsidR="0037093D" w:rsidRPr="0069651E">
        <w:rPr>
          <w:b/>
          <w:bCs/>
        </w:rPr>
        <w:t>2</w:t>
      </w:r>
      <w:r w:rsidR="006726DF" w:rsidRPr="0069651E">
        <w:rPr>
          <w:b/>
          <w:bCs/>
        </w:rPr>
        <w:t>4,324</w:t>
      </w:r>
    </w:p>
    <w:p w14:paraId="20C336A9" w14:textId="13DA0819" w:rsidR="001D0461" w:rsidRPr="0069651E" w:rsidRDefault="001D0461" w:rsidP="00D86067">
      <w:pPr>
        <w:pStyle w:val="ListParagraph"/>
        <w:numPr>
          <w:ilvl w:val="1"/>
          <w:numId w:val="10"/>
        </w:numPr>
      </w:pPr>
      <w:r w:rsidRPr="0069651E">
        <w:t xml:space="preserve">South Australia: </w:t>
      </w:r>
      <w:r w:rsidR="006726DF" w:rsidRPr="0069651E">
        <w:rPr>
          <w:b/>
          <w:bCs/>
        </w:rPr>
        <w:t>10,276</w:t>
      </w:r>
    </w:p>
    <w:p w14:paraId="7C14B042" w14:textId="51D6599E" w:rsidR="001D0461" w:rsidRPr="0069651E" w:rsidRDefault="001D0461" w:rsidP="00D86067">
      <w:pPr>
        <w:pStyle w:val="ListParagraph"/>
        <w:numPr>
          <w:ilvl w:val="1"/>
          <w:numId w:val="10"/>
        </w:numPr>
      </w:pPr>
      <w:r w:rsidRPr="0069651E">
        <w:t xml:space="preserve">Tasmania: </w:t>
      </w:r>
      <w:r w:rsidR="006D0AF9" w:rsidRPr="0069651E">
        <w:rPr>
          <w:b/>
          <w:bCs/>
        </w:rPr>
        <w:t>3</w:t>
      </w:r>
      <w:r w:rsidRPr="0069651E">
        <w:rPr>
          <w:b/>
          <w:bCs/>
        </w:rPr>
        <w:t>,</w:t>
      </w:r>
      <w:r w:rsidR="006D0AF9" w:rsidRPr="0069651E">
        <w:rPr>
          <w:b/>
          <w:bCs/>
        </w:rPr>
        <w:t>305</w:t>
      </w:r>
    </w:p>
    <w:p w14:paraId="40BABD07" w14:textId="60A2D191" w:rsidR="001D0461" w:rsidRPr="0069651E" w:rsidRDefault="001D0461" w:rsidP="00D86067">
      <w:pPr>
        <w:pStyle w:val="ListParagraph"/>
        <w:numPr>
          <w:ilvl w:val="1"/>
          <w:numId w:val="10"/>
        </w:numPr>
      </w:pPr>
      <w:r w:rsidRPr="0069651E">
        <w:t xml:space="preserve">Victoria: </w:t>
      </w:r>
      <w:r w:rsidR="0043381F" w:rsidRPr="0069651E">
        <w:rPr>
          <w:b/>
          <w:bCs/>
        </w:rPr>
        <w:t>7</w:t>
      </w:r>
      <w:r w:rsidR="0037093D" w:rsidRPr="0069651E">
        <w:rPr>
          <w:b/>
          <w:bCs/>
        </w:rPr>
        <w:t>,</w:t>
      </w:r>
      <w:r w:rsidR="0043381F" w:rsidRPr="0069651E">
        <w:rPr>
          <w:b/>
          <w:bCs/>
        </w:rPr>
        <w:t>356</w:t>
      </w:r>
    </w:p>
    <w:p w14:paraId="56F2827E" w14:textId="5DB77B10" w:rsidR="001D0461" w:rsidRPr="0069651E" w:rsidRDefault="001D0461" w:rsidP="00D86067">
      <w:pPr>
        <w:pStyle w:val="ListParagraph"/>
        <w:numPr>
          <w:ilvl w:val="1"/>
          <w:numId w:val="10"/>
        </w:numPr>
      </w:pPr>
      <w:r w:rsidRPr="0069651E">
        <w:t xml:space="preserve">Western Australia: </w:t>
      </w:r>
      <w:r w:rsidR="0037093D" w:rsidRPr="0069651E">
        <w:rPr>
          <w:b/>
          <w:bCs/>
        </w:rPr>
        <w:t>8</w:t>
      </w:r>
      <w:r w:rsidRPr="0069651E">
        <w:rPr>
          <w:b/>
          <w:bCs/>
        </w:rPr>
        <w:t>,1</w:t>
      </w:r>
      <w:r w:rsidR="0037093D" w:rsidRPr="0069651E">
        <w:rPr>
          <w:b/>
          <w:bCs/>
        </w:rPr>
        <w:t>13</w:t>
      </w:r>
    </w:p>
    <w:p w14:paraId="30850A85" w14:textId="614E8F73" w:rsidR="001D0461" w:rsidRPr="0069651E" w:rsidRDefault="001D0461" w:rsidP="00D86067">
      <w:pPr>
        <w:pStyle w:val="ListParagraph"/>
        <w:numPr>
          <w:ilvl w:val="1"/>
          <w:numId w:val="10"/>
        </w:numPr>
      </w:pPr>
      <w:r w:rsidRPr="0069651E">
        <w:t xml:space="preserve">Overseas and Unspecified: </w:t>
      </w:r>
      <w:r w:rsidR="00AA73A0" w:rsidRPr="0069651E">
        <w:rPr>
          <w:b/>
          <w:bCs/>
        </w:rPr>
        <w:t>1</w:t>
      </w:r>
      <w:r w:rsidR="0043381F" w:rsidRPr="0069651E">
        <w:rPr>
          <w:b/>
          <w:bCs/>
        </w:rPr>
        <w:t>,</w:t>
      </w:r>
      <w:r w:rsidR="00AA73A0" w:rsidRPr="0069651E">
        <w:rPr>
          <w:b/>
          <w:bCs/>
        </w:rPr>
        <w:t>261</w:t>
      </w:r>
      <w:r w:rsidRPr="0069651E">
        <w:t xml:space="preserve"> </w:t>
      </w:r>
    </w:p>
    <w:p w14:paraId="7AF1559F" w14:textId="77777777" w:rsidR="001D0461" w:rsidRDefault="001D0461" w:rsidP="001D0461">
      <w:pPr>
        <w:rPr>
          <w:b/>
          <w:bCs/>
        </w:rPr>
      </w:pPr>
      <w:r>
        <w:rPr>
          <w:b/>
          <w:bCs/>
        </w:rPr>
        <w:br w:type="page"/>
      </w:r>
    </w:p>
    <w:p w14:paraId="71253A5D" w14:textId="77777777" w:rsidR="00BC65A4" w:rsidRDefault="00BC65A4" w:rsidP="001D0461">
      <w:pPr>
        <w:pStyle w:val="Heading3"/>
        <w:spacing w:after="120"/>
        <w:rPr>
          <w:sz w:val="24"/>
          <w:szCs w:val="24"/>
        </w:rPr>
      </w:pPr>
    </w:p>
    <w:p w14:paraId="176EB5A4" w14:textId="3C3CF27A" w:rsidR="001D0461" w:rsidRPr="004F6DF4" w:rsidRDefault="001D0461" w:rsidP="001D0461">
      <w:pPr>
        <w:pStyle w:val="Heading3"/>
        <w:spacing w:after="120"/>
        <w:rPr>
          <w:sz w:val="24"/>
          <w:szCs w:val="24"/>
        </w:rPr>
      </w:pPr>
      <w:bookmarkStart w:id="36" w:name="_Toc230098699"/>
      <w:r w:rsidRPr="004F6DF4">
        <w:rPr>
          <w:sz w:val="24"/>
          <w:szCs w:val="24"/>
        </w:rPr>
        <w:t>3</w:t>
      </w:r>
      <w:r>
        <w:rPr>
          <w:sz w:val="24"/>
          <w:szCs w:val="24"/>
        </w:rPr>
        <w:t>b</w:t>
      </w:r>
      <w:r w:rsidRPr="004F6DF4">
        <w:rPr>
          <w:sz w:val="24"/>
          <w:szCs w:val="24"/>
        </w:rPr>
        <w:t>. Support Service Accessibility</w:t>
      </w:r>
      <w:bookmarkEnd w:id="36"/>
    </w:p>
    <w:p w14:paraId="0D3B183E" w14:textId="77777777" w:rsidR="001D0461" w:rsidRPr="001F21AF" w:rsidRDefault="001D0461" w:rsidP="001D0461">
      <w:r w:rsidRPr="001F21AF">
        <w:rPr>
          <w:b/>
          <w:bCs/>
        </w:rPr>
        <w:t>Metric</w:t>
      </w:r>
      <w:r w:rsidRPr="002A1E90">
        <w:t xml:space="preserve">: </w:t>
      </w:r>
      <w:r w:rsidRPr="001F21AF">
        <w:rPr>
          <w:i/>
          <w:iCs/>
        </w:rPr>
        <w:t>Accessibility of the Scheme’s support services to all survivor demographics, such as participation by First Nations / rural and remote / people with disability / elderly.</w:t>
      </w:r>
    </w:p>
    <w:p w14:paraId="2F1DB6D3" w14:textId="77777777" w:rsidR="001D0461" w:rsidRPr="00D1602B" w:rsidRDefault="001D0461" w:rsidP="001D0461">
      <w:pPr>
        <w:spacing w:after="120" w:line="271" w:lineRule="exact"/>
      </w:pPr>
      <w:r w:rsidRPr="00AF20E9">
        <w:t>Redress Support Services (RSS) are specialist, trauma-informed, culturally safe, survivor centred services</w:t>
      </w:r>
      <w:r>
        <w:t>. RSS</w:t>
      </w:r>
      <w:r w:rsidRPr="00AF20E9">
        <w:t xml:space="preserve"> provide free, confidential, practical and emotional support before, during and after people make, or consider making, an application to the National Redress Scheme. Many Services conduct outreach to support people to apply from survivor </w:t>
      </w:r>
      <w:r w:rsidRPr="00D1602B">
        <w:t>demographics.</w:t>
      </w:r>
    </w:p>
    <w:p w14:paraId="4A8CFFAC" w14:textId="77777777" w:rsidR="001D0461" w:rsidRPr="00D1602B" w:rsidRDefault="001D0461" w:rsidP="001D0461">
      <w:pPr>
        <w:spacing w:after="0" w:line="271" w:lineRule="exact"/>
      </w:pPr>
    </w:p>
    <w:p w14:paraId="1E393BD5" w14:textId="3924491C" w:rsidR="001D0461" w:rsidRPr="00E16E00" w:rsidRDefault="001D0461" w:rsidP="001D0461">
      <w:r w:rsidRPr="00A126CA">
        <w:t xml:space="preserve">Support </w:t>
      </w:r>
      <w:r w:rsidRPr="00E16E00">
        <w:t xml:space="preserve">Service Accessibility over the life of the Scheme as </w:t>
      </w:r>
      <w:proofErr w:type="gramStart"/>
      <w:r w:rsidRPr="00E16E00">
        <w:t>at</w:t>
      </w:r>
      <w:proofErr w:type="gramEnd"/>
      <w:r w:rsidRPr="00E16E00">
        <w:t xml:space="preserve"> 3</w:t>
      </w:r>
      <w:r w:rsidR="003E7F89" w:rsidRPr="00E16E00">
        <w:t>1 December</w:t>
      </w:r>
      <w:r w:rsidRPr="00E16E00">
        <w:t xml:space="preserve"> 2025:</w:t>
      </w:r>
    </w:p>
    <w:p w14:paraId="14B925C2" w14:textId="77E12862" w:rsidR="001D0461" w:rsidRPr="00E16E00" w:rsidRDefault="001D0461" w:rsidP="001D0461">
      <w:pPr>
        <w:pStyle w:val="ListParagraph"/>
        <w:numPr>
          <w:ilvl w:val="0"/>
          <w:numId w:val="12"/>
        </w:numPr>
        <w:tabs>
          <w:tab w:val="left" w:pos="3769"/>
        </w:tabs>
      </w:pPr>
      <w:r w:rsidRPr="00E16E00">
        <w:t xml:space="preserve">Approximately </w:t>
      </w:r>
      <w:r w:rsidRPr="00E16E00">
        <w:rPr>
          <w:b/>
        </w:rPr>
        <w:t>1</w:t>
      </w:r>
      <w:r w:rsidR="00ED2E91" w:rsidRPr="00E16E00">
        <w:rPr>
          <w:b/>
        </w:rPr>
        <w:t>1</w:t>
      </w:r>
      <w:r w:rsidRPr="00E16E00">
        <w:rPr>
          <w:b/>
        </w:rPr>
        <w:t>%</w:t>
      </w:r>
      <w:r w:rsidRPr="00E16E00">
        <w:t xml:space="preserve"> of applicants were supported by </w:t>
      </w:r>
      <w:proofErr w:type="gramStart"/>
      <w:r w:rsidRPr="00E16E00">
        <w:t>a</w:t>
      </w:r>
      <w:proofErr w:type="gramEnd"/>
      <w:r w:rsidRPr="00E16E00">
        <w:t xml:space="preserve"> RSS (excluding </w:t>
      </w:r>
      <w:proofErr w:type="spellStart"/>
      <w:r w:rsidRPr="00E16E00">
        <w:t>knowmore</w:t>
      </w:r>
      <w:proofErr w:type="spellEnd"/>
      <w:r w:rsidRPr="00E16E00">
        <w:t xml:space="preserve"> Legal Service)</w:t>
      </w:r>
    </w:p>
    <w:p w14:paraId="1DEA52FA" w14:textId="3342066E" w:rsidR="001D0461" w:rsidRPr="00E16E00" w:rsidRDefault="001D0461" w:rsidP="001D0461">
      <w:pPr>
        <w:pStyle w:val="ListParagraph"/>
        <w:numPr>
          <w:ilvl w:val="0"/>
          <w:numId w:val="12"/>
        </w:numPr>
        <w:tabs>
          <w:tab w:val="left" w:pos="3769"/>
        </w:tabs>
      </w:pPr>
      <w:r w:rsidRPr="00E16E00">
        <w:t xml:space="preserve">Approximately </w:t>
      </w:r>
      <w:r w:rsidR="008901F6" w:rsidRPr="00D86067">
        <w:rPr>
          <w:b/>
          <w:bCs/>
        </w:rPr>
        <w:t>4</w:t>
      </w:r>
      <w:r w:rsidRPr="00870AC8">
        <w:rPr>
          <w:b/>
          <w:bCs/>
        </w:rPr>
        <w:t>%</w:t>
      </w:r>
      <w:r w:rsidRPr="00E16E00">
        <w:t xml:space="preserve"> were supported by </w:t>
      </w:r>
      <w:r w:rsidR="00FE7F35">
        <w:t>K</w:t>
      </w:r>
      <w:r w:rsidRPr="00E16E00">
        <w:t xml:space="preserve">nowmore Legal Service </w:t>
      </w:r>
    </w:p>
    <w:p w14:paraId="417E0FF2" w14:textId="55CE2447" w:rsidR="001D0461" w:rsidRPr="00E16E00" w:rsidRDefault="005D65B7" w:rsidP="001D0461">
      <w:pPr>
        <w:pStyle w:val="ListParagraph"/>
        <w:numPr>
          <w:ilvl w:val="0"/>
          <w:numId w:val="12"/>
        </w:numPr>
        <w:tabs>
          <w:tab w:val="left" w:pos="3769"/>
        </w:tabs>
      </w:pPr>
      <w:r w:rsidRPr="00E16E00">
        <w:rPr>
          <w:b/>
        </w:rPr>
        <w:t>28</w:t>
      </w:r>
      <w:r w:rsidR="001D0461" w:rsidRPr="00E16E00">
        <w:rPr>
          <w:b/>
        </w:rPr>
        <w:t>%</w:t>
      </w:r>
      <w:r w:rsidR="001D0461" w:rsidRPr="00E16E00">
        <w:t xml:space="preserve"> of applicants who identify as having a disability</w:t>
      </w:r>
      <w:r w:rsidR="001D0461" w:rsidRPr="00E16E00">
        <w:rPr>
          <w:rStyle w:val="FootnoteReference"/>
        </w:rPr>
        <w:footnoteReference w:id="10"/>
      </w:r>
      <w:r w:rsidR="001D0461" w:rsidRPr="00E16E00">
        <w:t xml:space="preserve"> used </w:t>
      </w:r>
      <w:proofErr w:type="gramStart"/>
      <w:r w:rsidR="001D0461" w:rsidRPr="00E16E00">
        <w:t>a</w:t>
      </w:r>
      <w:proofErr w:type="gramEnd"/>
      <w:r w:rsidR="001D0461" w:rsidRPr="00E16E00">
        <w:t xml:space="preserve"> RSS</w:t>
      </w:r>
      <w:r w:rsidR="001D0461" w:rsidRPr="00E16E00">
        <w:rPr>
          <w:vertAlign w:val="superscript"/>
        </w:rPr>
        <w:t xml:space="preserve"> </w:t>
      </w:r>
    </w:p>
    <w:p w14:paraId="1C368990" w14:textId="51E72237" w:rsidR="001D0461" w:rsidRPr="00E16E00" w:rsidRDefault="005D09AA" w:rsidP="001D0461">
      <w:pPr>
        <w:pStyle w:val="ListParagraph"/>
        <w:numPr>
          <w:ilvl w:val="0"/>
          <w:numId w:val="12"/>
        </w:numPr>
        <w:tabs>
          <w:tab w:val="left" w:pos="3769"/>
        </w:tabs>
      </w:pPr>
      <w:r w:rsidRPr="00E16E00">
        <w:rPr>
          <w:b/>
        </w:rPr>
        <w:t>19</w:t>
      </w:r>
      <w:r w:rsidR="001D0461" w:rsidRPr="00E16E00">
        <w:rPr>
          <w:b/>
        </w:rPr>
        <w:t>%</w:t>
      </w:r>
      <w:r w:rsidR="001D0461" w:rsidRPr="00E16E00">
        <w:t xml:space="preserve"> of applicants who lived in a regional or remote</w:t>
      </w:r>
      <w:r w:rsidR="001D0461" w:rsidRPr="00E16E00">
        <w:rPr>
          <w:rStyle w:val="FootnoteReference"/>
        </w:rPr>
        <w:footnoteReference w:id="11"/>
      </w:r>
      <w:r w:rsidR="001D0461" w:rsidRPr="00E16E00">
        <w:t xml:space="preserve"> location used </w:t>
      </w:r>
      <w:proofErr w:type="gramStart"/>
      <w:r w:rsidR="001D0461" w:rsidRPr="00E16E00">
        <w:t>a</w:t>
      </w:r>
      <w:proofErr w:type="gramEnd"/>
      <w:r w:rsidR="001D0461" w:rsidRPr="00E16E00">
        <w:t xml:space="preserve"> RSS</w:t>
      </w:r>
    </w:p>
    <w:p w14:paraId="73481A33" w14:textId="3652EAF0" w:rsidR="001D0461" w:rsidRPr="00E16E00" w:rsidRDefault="001D0461" w:rsidP="001D0461">
      <w:pPr>
        <w:pStyle w:val="ListParagraph"/>
        <w:numPr>
          <w:ilvl w:val="0"/>
          <w:numId w:val="12"/>
        </w:numPr>
        <w:tabs>
          <w:tab w:val="left" w:pos="3769"/>
        </w:tabs>
      </w:pPr>
      <w:r w:rsidRPr="00E16E00">
        <w:rPr>
          <w:b/>
        </w:rPr>
        <w:t>2</w:t>
      </w:r>
      <w:r w:rsidR="00B64061" w:rsidRPr="00E16E00">
        <w:rPr>
          <w:b/>
        </w:rPr>
        <w:t>2</w:t>
      </w:r>
      <w:r w:rsidRPr="00E16E00">
        <w:rPr>
          <w:b/>
        </w:rPr>
        <w:t>%</w:t>
      </w:r>
      <w:r w:rsidRPr="00E16E00">
        <w:t xml:space="preserve"> of applicants who identified as First Nations used </w:t>
      </w:r>
      <w:proofErr w:type="gramStart"/>
      <w:r w:rsidRPr="00E16E00">
        <w:t>a</w:t>
      </w:r>
      <w:proofErr w:type="gramEnd"/>
      <w:r w:rsidRPr="00E16E00">
        <w:t xml:space="preserve"> RSS</w:t>
      </w:r>
    </w:p>
    <w:p w14:paraId="3021FBE8" w14:textId="2A7E3553" w:rsidR="001D0461" w:rsidRPr="00E16E00" w:rsidRDefault="001D0461" w:rsidP="001D0461">
      <w:pPr>
        <w:pStyle w:val="ListParagraph"/>
        <w:numPr>
          <w:ilvl w:val="0"/>
          <w:numId w:val="12"/>
        </w:numPr>
        <w:tabs>
          <w:tab w:val="left" w:pos="3769"/>
        </w:tabs>
      </w:pPr>
      <w:r w:rsidRPr="00E16E00">
        <w:rPr>
          <w:b/>
        </w:rPr>
        <w:t>4</w:t>
      </w:r>
      <w:r w:rsidR="00B64061" w:rsidRPr="00E16E00">
        <w:rPr>
          <w:b/>
        </w:rPr>
        <w:t>5</w:t>
      </w:r>
      <w:r w:rsidRPr="00E16E00">
        <w:rPr>
          <w:b/>
        </w:rPr>
        <w:t>%</w:t>
      </w:r>
      <w:r w:rsidRPr="00E16E00">
        <w:t xml:space="preserve"> of elderly</w:t>
      </w:r>
      <w:r w:rsidRPr="00E16E00">
        <w:rPr>
          <w:rStyle w:val="FootnoteReference"/>
        </w:rPr>
        <w:footnoteReference w:id="12"/>
      </w:r>
      <w:r w:rsidRPr="00E16E00">
        <w:t xml:space="preserve"> applicants at application used </w:t>
      </w:r>
      <w:proofErr w:type="gramStart"/>
      <w:r w:rsidRPr="00E16E00">
        <w:t>a</w:t>
      </w:r>
      <w:proofErr w:type="gramEnd"/>
      <w:r w:rsidRPr="00E16E00">
        <w:t xml:space="preserve"> RSS</w:t>
      </w:r>
    </w:p>
    <w:p w14:paraId="22C9C3FB" w14:textId="4505F9A6" w:rsidR="001D0461" w:rsidRPr="00E16E00" w:rsidRDefault="001D0461" w:rsidP="001D0461">
      <w:pPr>
        <w:pStyle w:val="ListParagraph"/>
        <w:numPr>
          <w:ilvl w:val="0"/>
          <w:numId w:val="12"/>
        </w:numPr>
        <w:tabs>
          <w:tab w:val="left" w:pos="3769"/>
        </w:tabs>
      </w:pPr>
      <w:r w:rsidRPr="00E16E00">
        <w:rPr>
          <w:b/>
          <w:bCs/>
        </w:rPr>
        <w:t>2</w:t>
      </w:r>
      <w:r w:rsidR="00A84121" w:rsidRPr="00E16E00">
        <w:rPr>
          <w:b/>
          <w:bCs/>
        </w:rPr>
        <w:t>1</w:t>
      </w:r>
      <w:r w:rsidRPr="00E16E00">
        <w:t>% of applicants had nominees to assist them to engage with the Scheme. These nominees were not necessarily RSS representatives – they could be an applicant’s family member, friend or lawyer.</w:t>
      </w:r>
    </w:p>
    <w:p w14:paraId="31703FB6" w14:textId="06FD8899" w:rsidR="001D0461" w:rsidRPr="00967470" w:rsidRDefault="001D0461" w:rsidP="001D0461">
      <w:pPr>
        <w:rPr>
          <w:b/>
        </w:rPr>
      </w:pPr>
      <w:r>
        <w:t xml:space="preserve">The total </w:t>
      </w:r>
      <w:r w:rsidRPr="00CE3BD1">
        <w:rPr>
          <w:b/>
          <w:bCs/>
        </w:rPr>
        <w:t>number</w:t>
      </w:r>
      <w:r>
        <w:t xml:space="preserve"> of applicants using support services is increasing over time, but not as much as the total number of applicants has increased over the same time. This means that the </w:t>
      </w:r>
      <w:r w:rsidRPr="00CE3BD1">
        <w:rPr>
          <w:b/>
          <w:bCs/>
        </w:rPr>
        <w:t>proportion</w:t>
      </w:r>
      <w:r>
        <w:t xml:space="preserve"> of applicants using support services is declining over time. </w:t>
      </w:r>
      <w:bookmarkStart w:id="37" w:name="_Hlk219889286"/>
      <w:r w:rsidRPr="003F549E">
        <w:t xml:space="preserve">The Australian Government has provided additional funding to support services and </w:t>
      </w:r>
      <w:r w:rsidR="00FE7F35">
        <w:t>K</w:t>
      </w:r>
      <w:r w:rsidRPr="003F549E">
        <w:t>nowmore Legal Service from 2024-25 to assist applicants to lodge more-complete applications.</w:t>
      </w:r>
    </w:p>
    <w:bookmarkEnd w:id="37"/>
    <w:p w14:paraId="060637BB" w14:textId="77777777" w:rsidR="007B0256" w:rsidRPr="00B91E3E" w:rsidRDefault="007B0256" w:rsidP="00B91E3E"/>
    <w:sectPr w:rsidR="007B0256" w:rsidRPr="00B91E3E" w:rsidSect="00BC65A4">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107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56118" w14:textId="77777777" w:rsidR="00F85A9E" w:rsidRDefault="00F85A9E" w:rsidP="00B04ED8">
      <w:pPr>
        <w:spacing w:after="0" w:line="240" w:lineRule="auto"/>
      </w:pPr>
      <w:r>
        <w:separator/>
      </w:r>
    </w:p>
  </w:endnote>
  <w:endnote w:type="continuationSeparator" w:id="0">
    <w:p w14:paraId="729A365A" w14:textId="77777777" w:rsidR="00F85A9E" w:rsidRDefault="00F85A9E" w:rsidP="00B04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8152268"/>
      <w:docPartObj>
        <w:docPartGallery w:val="Page Numbers (Bottom of Page)"/>
        <w:docPartUnique/>
      </w:docPartObj>
    </w:sdtPr>
    <w:sdtEndPr/>
    <w:sdtContent>
      <w:sdt>
        <w:sdtPr>
          <w:id w:val="1728636285"/>
          <w:docPartObj>
            <w:docPartGallery w:val="Page Numbers (Top of Page)"/>
            <w:docPartUnique/>
          </w:docPartObj>
        </w:sdtPr>
        <w:sdtEndPr/>
        <w:sdtContent>
          <w:p w14:paraId="04E32965" w14:textId="77777777" w:rsidR="001D0461" w:rsidRDefault="001D0461" w:rsidP="00CD71F8">
            <w:r>
              <w:ptab w:relativeTo="margin" w:alignment="center" w:leader="none"/>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9B7C00A" w14:textId="77777777" w:rsidR="001D0461" w:rsidRDefault="001D0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2B92" w14:textId="77777777" w:rsidR="001D0461" w:rsidRDefault="001D0461">
    <w:pPr>
      <w:pStyle w:val="Footer"/>
    </w:pPr>
    <w:r>
      <w:rPr>
        <w:noProof/>
        <w:lang w:eastAsia="en-AU"/>
      </w:rPr>
      <w:drawing>
        <wp:anchor distT="0" distB="0" distL="114300" distR="114300" simplePos="0" relativeHeight="251656192" behindDoc="1" locked="0" layoutInCell="1" allowOverlap="1" wp14:anchorId="38624757" wp14:editId="2D579A97">
          <wp:simplePos x="0" y="0"/>
          <wp:positionH relativeFrom="page">
            <wp:posOffset>1260765</wp:posOffset>
          </wp:positionH>
          <wp:positionV relativeFrom="page">
            <wp:posOffset>10248900</wp:posOffset>
          </wp:positionV>
          <wp:extent cx="7213310" cy="3491230"/>
          <wp:effectExtent l="0" t="0" r="6985" b="0"/>
          <wp:wrapNone/>
          <wp:docPr id="417571724" name="Picture 4175717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13310" cy="34912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97DEB" w14:textId="77777777" w:rsidR="001D0461" w:rsidRDefault="001D04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959164"/>
      <w:docPartObj>
        <w:docPartGallery w:val="Page Numbers (Bottom of Page)"/>
        <w:docPartUnique/>
      </w:docPartObj>
    </w:sdtPr>
    <w:sdtEndPr/>
    <w:sdtContent>
      <w:sdt>
        <w:sdtPr>
          <w:id w:val="2112855932"/>
          <w:docPartObj>
            <w:docPartGallery w:val="Page Numbers (Top of Page)"/>
            <w:docPartUnique/>
          </w:docPartObj>
        </w:sdtPr>
        <w:sdtEndPr/>
        <w:sdtContent>
          <w:p w14:paraId="06A33719" w14:textId="77777777" w:rsidR="001D0461" w:rsidRDefault="001D0461">
            <w:pPr>
              <w:pStyle w:val="Footer"/>
              <w:jc w:val="center"/>
            </w:pPr>
            <w:r>
              <w:t xml:space="preserve">Page 15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E8570C8" w14:textId="77777777" w:rsidR="001D0461" w:rsidRDefault="001D0461" w:rsidP="00464BF9">
    <w:pPr>
      <w:pStyle w:val="Footer"/>
      <w:pBdr>
        <w:top w:val="single" w:sz="4" w:space="1" w:color="D9D9D9" w:themeColor="background1" w:themeShade="D9"/>
      </w:pBdr>
      <w:jc w:val="right"/>
      <w:rPr>
        <w:color w:val="7F7F7F" w:themeColor="background1" w:themeShade="7F"/>
        <w:spacing w:val="6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7439"/>
      <w:docPartObj>
        <w:docPartGallery w:val="Page Numbers (Bottom of Page)"/>
        <w:docPartUnique/>
      </w:docPartObj>
    </w:sdtPr>
    <w:sdtEndPr/>
    <w:sdtContent>
      <w:sdt>
        <w:sdtPr>
          <w:id w:val="-1108269598"/>
          <w:docPartObj>
            <w:docPartGallery w:val="Page Numbers (Top of Page)"/>
            <w:docPartUnique/>
          </w:docPartObj>
        </w:sdtPr>
        <w:sdtEndPr/>
        <w:sdtContent>
          <w:p w14:paraId="29EC9BBF" w14:textId="77777777" w:rsidR="001D0461" w:rsidRPr="00B83E23" w:rsidRDefault="001D0461" w:rsidP="00301FD5">
            <w:pPr>
              <w:pStyle w:val="Footer"/>
              <w:jc w:val="center"/>
              <w:rPr>
                <w:b/>
                <w:bCs/>
              </w:rPr>
            </w:pPr>
            <w:r w:rsidRPr="00B83E23">
              <w:t xml:space="preserve">Page </w:t>
            </w:r>
            <w:r w:rsidRPr="00B83E23">
              <w:rPr>
                <w:b/>
                <w:bCs/>
              </w:rPr>
              <w:t>1</w:t>
            </w:r>
            <w:r>
              <w:rPr>
                <w:b/>
                <w:bCs/>
              </w:rPr>
              <w:t>3</w:t>
            </w:r>
            <w:r w:rsidRPr="00B83E23">
              <w:t xml:space="preserve"> of </w:t>
            </w:r>
            <w:r w:rsidRPr="00B83E23">
              <w:rPr>
                <w:b/>
                <w:bCs/>
              </w:rPr>
              <w:fldChar w:fldCharType="begin"/>
            </w:r>
            <w:r w:rsidRPr="00B83E23">
              <w:rPr>
                <w:b/>
                <w:bCs/>
              </w:rPr>
              <w:instrText xml:space="preserve"> NUMPAGES  </w:instrText>
            </w:r>
            <w:r w:rsidRPr="00B83E23">
              <w:rPr>
                <w:b/>
                <w:bCs/>
              </w:rPr>
              <w:fldChar w:fldCharType="separate"/>
            </w:r>
            <w:r w:rsidRPr="00B83E23">
              <w:rPr>
                <w:b/>
                <w:bCs/>
                <w:noProof/>
              </w:rPr>
              <w:t>2</w:t>
            </w:r>
            <w:r w:rsidRPr="00B83E23">
              <w:rPr>
                <w:b/>
                <w:bCs/>
              </w:rPr>
              <w:fldChar w:fldCharType="end"/>
            </w:r>
          </w:p>
        </w:sdtContent>
      </w:sdt>
    </w:sdtContent>
  </w:sdt>
  <w:p w14:paraId="751FA708" w14:textId="77777777" w:rsidR="001D0461" w:rsidRDefault="001D04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3AB3" w14:textId="77777777" w:rsidR="00B04ED8" w:rsidRDefault="00B04ED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7376941"/>
      <w:docPartObj>
        <w:docPartGallery w:val="Page Numbers (Bottom of Page)"/>
        <w:docPartUnique/>
      </w:docPartObj>
    </w:sdtPr>
    <w:sdtEndPr/>
    <w:sdtContent>
      <w:sdt>
        <w:sdtPr>
          <w:id w:val="1308669885"/>
          <w:docPartObj>
            <w:docPartGallery w:val="Page Numbers (Top of Page)"/>
            <w:docPartUnique/>
          </w:docPartObj>
        </w:sdtPr>
        <w:sdtEndPr/>
        <w:sdtContent>
          <w:p w14:paraId="13194A9B" w14:textId="505100DF" w:rsidR="00040C74" w:rsidRDefault="00040C7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9002ADD" w14:textId="77777777" w:rsidR="00B04ED8" w:rsidRDefault="00B04ED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DF8E7" w14:textId="77777777" w:rsidR="00B04ED8" w:rsidRDefault="00B04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A44C" w14:textId="77777777" w:rsidR="00F85A9E" w:rsidRDefault="00F85A9E" w:rsidP="00B04ED8">
      <w:pPr>
        <w:spacing w:after="0" w:line="240" w:lineRule="auto"/>
      </w:pPr>
      <w:r>
        <w:separator/>
      </w:r>
    </w:p>
  </w:footnote>
  <w:footnote w:type="continuationSeparator" w:id="0">
    <w:p w14:paraId="07AFEAE1" w14:textId="77777777" w:rsidR="00F85A9E" w:rsidRDefault="00F85A9E" w:rsidP="00B04ED8">
      <w:pPr>
        <w:spacing w:after="0" w:line="240" w:lineRule="auto"/>
      </w:pPr>
      <w:r>
        <w:continuationSeparator/>
      </w:r>
    </w:p>
  </w:footnote>
  <w:footnote w:id="1">
    <w:p w14:paraId="6E1A219B" w14:textId="2AC5A953" w:rsidR="00572025" w:rsidRPr="00D86067" w:rsidRDefault="00572025">
      <w:pPr>
        <w:pStyle w:val="FootnoteText"/>
        <w:rPr>
          <w:lang w:val="en-US"/>
        </w:rPr>
      </w:pPr>
      <w:r>
        <w:rPr>
          <w:rStyle w:val="FootnoteReference"/>
        </w:rPr>
        <w:footnoteRef/>
      </w:r>
      <w:r>
        <w:t xml:space="preserve"> </w:t>
      </w:r>
      <w:r>
        <w:rPr>
          <w:lang w:val="en-US"/>
        </w:rPr>
        <w:t>This figure differs from previously published figures as it excludes closed applications</w:t>
      </w:r>
    </w:p>
  </w:footnote>
  <w:footnote w:id="2">
    <w:p w14:paraId="1D5E8591" w14:textId="77777777" w:rsidR="000666E9" w:rsidRPr="00EB2A25" w:rsidRDefault="000666E9" w:rsidP="000666E9">
      <w:pPr>
        <w:pStyle w:val="FootnoteText"/>
      </w:pPr>
      <w:r w:rsidRPr="00EB2A25">
        <w:footnoteRef/>
      </w:r>
      <w:r>
        <w:t>.</w:t>
      </w:r>
      <w:r w:rsidRPr="007F3D95">
        <w:t xml:space="preserve"> The metric commences from the point </w:t>
      </w:r>
      <w:r w:rsidRPr="00947EB9">
        <w:t>that all necessary information from</w:t>
      </w:r>
      <w:r w:rsidRPr="007F3D95">
        <w:t xml:space="preserve"> applicants and institutions has been received by the Scheme until an outcome has been delivered to the applicant</w:t>
      </w:r>
      <w:r>
        <w:t xml:space="preserve"> but does not exclude periods where additional information is sought in the decision making phase</w:t>
      </w:r>
      <w:r w:rsidRPr="007F3D95">
        <w:t>.</w:t>
      </w:r>
      <w:r>
        <w:t xml:space="preserve"> </w:t>
      </w:r>
    </w:p>
  </w:footnote>
  <w:footnote w:id="3">
    <w:p w14:paraId="46B3579E" w14:textId="77777777" w:rsidR="001D0461" w:rsidRPr="00EB2A25" w:rsidRDefault="001D0461" w:rsidP="001D0461">
      <w:pPr>
        <w:pStyle w:val="FootnoteText"/>
      </w:pPr>
      <w:r w:rsidRPr="007F3D95">
        <w:footnoteRef/>
      </w:r>
      <w:r>
        <w:t>.</w:t>
      </w:r>
      <w:r w:rsidRPr="007F3D95">
        <w:t xml:space="preserve"> Since January 2023 all states and territories except South Australia offered services rather than payments.</w:t>
      </w:r>
    </w:p>
  </w:footnote>
  <w:footnote w:id="4">
    <w:p w14:paraId="693526F5" w14:textId="77777777" w:rsidR="001D0461" w:rsidRDefault="001D0461" w:rsidP="001D0461">
      <w:pPr>
        <w:pStyle w:val="FootnoteText"/>
      </w:pPr>
      <w:r>
        <w:rPr>
          <w:rStyle w:val="FootnoteReference"/>
        </w:rPr>
        <w:footnoteRef/>
      </w:r>
      <w:r>
        <w:t xml:space="preserve"> </w:t>
      </w:r>
      <w:r w:rsidRPr="009739CE">
        <w:t>Remoteness is defined based on the 2016 Australian Bureau of Statistics Remoteness Areas Structure based on a measure of relative access to services.</w:t>
      </w:r>
    </w:p>
  </w:footnote>
  <w:footnote w:id="5">
    <w:p w14:paraId="372467AF" w14:textId="77777777" w:rsidR="001D0461" w:rsidRDefault="001D0461" w:rsidP="001D0461">
      <w:pPr>
        <w:pStyle w:val="FootnoteText"/>
      </w:pPr>
      <w:r>
        <w:rPr>
          <w:rStyle w:val="FootnoteReference"/>
        </w:rPr>
        <w:footnoteRef/>
      </w:r>
      <w:r>
        <w:t xml:space="preserve"> </w:t>
      </w:r>
      <w:r w:rsidRPr="009739CE">
        <w:t>Disability is not a term defined by the Scheme. Applicants may self-identify as having a disability, which includes illness and age-related conditions.</w:t>
      </w:r>
    </w:p>
  </w:footnote>
  <w:footnote w:id="6">
    <w:p w14:paraId="0AAA86E2" w14:textId="77777777" w:rsidR="001D0461" w:rsidRDefault="001D0461" w:rsidP="001D0461">
      <w:pPr>
        <w:pStyle w:val="FootnoteText"/>
      </w:pPr>
      <w:r>
        <w:rPr>
          <w:rStyle w:val="FootnoteReference"/>
        </w:rPr>
        <w:footnoteRef/>
      </w:r>
      <w:r>
        <w:t xml:space="preserve"> </w:t>
      </w:r>
      <w:r w:rsidRPr="009739CE">
        <w:t>Elderly applicants are defined as over 70 at age of application, or over 55 for First Nations applicants.</w:t>
      </w:r>
    </w:p>
  </w:footnote>
  <w:footnote w:id="7">
    <w:p w14:paraId="4B054B91" w14:textId="77777777" w:rsidR="001D0461" w:rsidRDefault="001D0461" w:rsidP="001D0461">
      <w:pPr>
        <w:pStyle w:val="FootnoteText"/>
      </w:pPr>
      <w:r>
        <w:rPr>
          <w:rStyle w:val="FootnoteReference"/>
        </w:rPr>
        <w:footnoteRef/>
      </w:r>
      <w:r>
        <w:t xml:space="preserve"> </w:t>
      </w:r>
      <w:r w:rsidRPr="009739CE">
        <w:t>Elderly applicants are defined as over 70 at age of application, or over 55 for First Nations applicants.</w:t>
      </w:r>
    </w:p>
  </w:footnote>
  <w:footnote w:id="8">
    <w:p w14:paraId="2530CDBF" w14:textId="77777777" w:rsidR="001D0461" w:rsidRDefault="001D0461" w:rsidP="001D0461">
      <w:pPr>
        <w:pStyle w:val="FootnoteText"/>
      </w:pPr>
      <w:r>
        <w:rPr>
          <w:rStyle w:val="FootnoteReference"/>
        </w:rPr>
        <w:footnoteRef/>
      </w:r>
      <w:r>
        <w:t xml:space="preserve"> </w:t>
      </w:r>
      <w:r w:rsidRPr="009739CE">
        <w:t>Disability is not a term defined by the Scheme. Applicants may self-identify as having a disability, which includes illness and age-related conditions.</w:t>
      </w:r>
    </w:p>
  </w:footnote>
  <w:footnote w:id="9">
    <w:p w14:paraId="5C51EA95" w14:textId="77777777" w:rsidR="001D0461" w:rsidRDefault="001D0461" w:rsidP="001D0461">
      <w:pPr>
        <w:pStyle w:val="FootnoteText"/>
      </w:pPr>
      <w:r>
        <w:rPr>
          <w:rStyle w:val="FootnoteReference"/>
        </w:rPr>
        <w:footnoteRef/>
      </w:r>
      <w:r>
        <w:t xml:space="preserve"> </w:t>
      </w:r>
      <w:r w:rsidRPr="009739CE">
        <w:t>Remoteness is defined based on the 2016 Australian Bureau of Statistics Remoteness Areas Structure based on a measure of relative access to services.</w:t>
      </w:r>
    </w:p>
  </w:footnote>
  <w:footnote w:id="10">
    <w:p w14:paraId="4DA139EF" w14:textId="77777777" w:rsidR="001D0461" w:rsidRDefault="001D0461" w:rsidP="001D0461">
      <w:pPr>
        <w:pStyle w:val="FootnoteText"/>
      </w:pPr>
      <w:r>
        <w:rPr>
          <w:rStyle w:val="FootnoteReference"/>
        </w:rPr>
        <w:footnoteRef/>
      </w:r>
      <w:r>
        <w:t xml:space="preserve"> </w:t>
      </w:r>
      <w:r w:rsidRPr="009739CE">
        <w:t>Disability is not a term defined by the Scheme. Applicants may self-identify as having a disability, which includes illness and age-related conditions.</w:t>
      </w:r>
    </w:p>
  </w:footnote>
  <w:footnote w:id="11">
    <w:p w14:paraId="3D385D91" w14:textId="77777777" w:rsidR="001D0461" w:rsidRDefault="001D0461" w:rsidP="001D0461">
      <w:pPr>
        <w:pStyle w:val="FootnoteText"/>
      </w:pPr>
      <w:r>
        <w:rPr>
          <w:rStyle w:val="FootnoteReference"/>
        </w:rPr>
        <w:footnoteRef/>
      </w:r>
      <w:r>
        <w:t xml:space="preserve"> </w:t>
      </w:r>
      <w:r w:rsidRPr="009739CE">
        <w:t>Remoteness is defined based on the 2016 Australian Bureau of Statistics Remoteness Areas Structure based on a measure of relative access to services.</w:t>
      </w:r>
    </w:p>
  </w:footnote>
  <w:footnote w:id="12">
    <w:p w14:paraId="366A520D" w14:textId="77777777" w:rsidR="001D0461" w:rsidRDefault="001D0461" w:rsidP="001D0461">
      <w:pPr>
        <w:pStyle w:val="FootnoteText"/>
      </w:pPr>
      <w:r>
        <w:rPr>
          <w:rStyle w:val="FootnoteReference"/>
        </w:rPr>
        <w:footnoteRef/>
      </w:r>
      <w:r>
        <w:t xml:space="preserve"> </w:t>
      </w:r>
      <w:r w:rsidRPr="009739CE">
        <w:t>Elderly applicants are defined as over 70 at age of application, or over 55 for First Nations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4028" w14:textId="77777777" w:rsidR="001D0461" w:rsidRPr="00A41040" w:rsidRDefault="001D0461" w:rsidP="00A41040">
    <w:pPr>
      <w:pStyle w:val="Header"/>
      <w:ind w:left="-709"/>
    </w:pPr>
    <w:r>
      <w:rPr>
        <w:noProof/>
      </w:rPr>
      <w:drawing>
        <wp:anchor distT="0" distB="0" distL="114300" distR="114300" simplePos="0" relativeHeight="251655168" behindDoc="0" locked="0" layoutInCell="1" allowOverlap="1" wp14:anchorId="291B7B86" wp14:editId="1E5E9282">
          <wp:simplePos x="0" y="0"/>
          <wp:positionH relativeFrom="column">
            <wp:posOffset>-447675</wp:posOffset>
          </wp:positionH>
          <wp:positionV relativeFrom="paragraph">
            <wp:posOffset>1905</wp:posOffset>
          </wp:positionV>
          <wp:extent cx="2219325" cy="735965"/>
          <wp:effectExtent l="0" t="0" r="9525" b="6985"/>
          <wp:wrapNone/>
          <wp:docPr id="269150252" name="Picture 2"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34" name="Picture 2" descr="National Redress Schem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35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2388" w14:textId="77777777" w:rsidR="001D0461" w:rsidRPr="00A41040" w:rsidRDefault="001D0461" w:rsidP="00A41040">
    <w:pPr>
      <w:pStyle w:val="Header"/>
    </w:pPr>
    <w:r w:rsidRPr="00A41040">
      <w:rPr>
        <w:noProof/>
      </w:rPr>
      <w:drawing>
        <wp:anchor distT="0" distB="0" distL="114300" distR="114300" simplePos="0" relativeHeight="251660288" behindDoc="0" locked="0" layoutInCell="1" allowOverlap="1" wp14:anchorId="1E18CCBC" wp14:editId="3873097C">
          <wp:simplePos x="0" y="0"/>
          <wp:positionH relativeFrom="margin">
            <wp:posOffset>-646430</wp:posOffset>
          </wp:positionH>
          <wp:positionV relativeFrom="margin">
            <wp:posOffset>-1090930</wp:posOffset>
          </wp:positionV>
          <wp:extent cx="2752725" cy="913130"/>
          <wp:effectExtent l="0" t="0" r="9525" b="1270"/>
          <wp:wrapSquare wrapText="bothSides"/>
          <wp:docPr id="1665049845" name="Picture 3"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42724" name="Picture 3" descr="National Redress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2725" cy="913130"/>
                  </a:xfrm>
                  <a:prstGeom prst="rect">
                    <a:avLst/>
                  </a:prstGeom>
                  <a:noFill/>
                </pic:spPr>
              </pic:pic>
            </a:graphicData>
          </a:graphic>
          <wp14:sizeRelH relativeFrom="page">
            <wp14:pctWidth>0</wp14:pctWidth>
          </wp14:sizeRelH>
          <wp14:sizeRelV relativeFrom="page">
            <wp14:pctHeight>0</wp14:pctHeight>
          </wp14:sizeRelV>
        </wp:anchor>
      </w:drawing>
    </w:r>
  </w:p>
  <w:p w14:paraId="7FCED89E" w14:textId="77777777" w:rsidR="001D0461" w:rsidRPr="00A41040" w:rsidRDefault="001D0461" w:rsidP="00A41040">
    <w:pPr>
      <w:pStyle w:val="Header"/>
    </w:pPr>
    <w:r w:rsidRPr="00A41040">
      <w:rPr>
        <w:noProof/>
      </w:rPr>
      <mc:AlternateContent>
        <mc:Choice Requires="wps">
          <w:drawing>
            <wp:anchor distT="0" distB="0" distL="114300" distR="114300" simplePos="0" relativeHeight="251658240" behindDoc="0" locked="0" layoutInCell="1" allowOverlap="1" wp14:anchorId="303FB4F0" wp14:editId="170D1B54">
              <wp:simplePos x="0" y="0"/>
              <wp:positionH relativeFrom="column">
                <wp:posOffset>-752475</wp:posOffset>
              </wp:positionH>
              <wp:positionV relativeFrom="paragraph">
                <wp:posOffset>868680</wp:posOffset>
              </wp:positionV>
              <wp:extent cx="7019925" cy="0"/>
              <wp:effectExtent l="0" t="19050" r="28575" b="19050"/>
              <wp:wrapNone/>
              <wp:docPr id="120369705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19925" cy="0"/>
                      </a:xfrm>
                      <a:prstGeom prst="line">
                        <a:avLst/>
                      </a:prstGeom>
                      <a:ln w="28575">
                        <a:solidFill>
                          <a:srgbClr val="45BA98"/>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A7D9AC" id="Straight Connector 4"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25pt,68.4pt" to="493.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" strokecolor="#45ba98" strokeweight="2.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5F5C" w14:textId="77777777" w:rsidR="001D0461" w:rsidRDefault="001D04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AE17" w14:textId="77777777" w:rsidR="001D0461" w:rsidRDefault="001D0461">
    <w:pPr>
      <w:pStyle w:val="Header"/>
    </w:pPr>
    <w:r>
      <w:rPr>
        <w:noProof/>
      </w:rPr>
      <w:drawing>
        <wp:anchor distT="0" distB="0" distL="114300" distR="114300" simplePos="0" relativeHeight="251657216" behindDoc="0" locked="0" layoutInCell="1" allowOverlap="1" wp14:anchorId="4D44EA7C" wp14:editId="67E48830">
          <wp:simplePos x="0" y="0"/>
          <wp:positionH relativeFrom="margin">
            <wp:posOffset>-457200</wp:posOffset>
          </wp:positionH>
          <wp:positionV relativeFrom="margin">
            <wp:posOffset>-1082040</wp:posOffset>
          </wp:positionV>
          <wp:extent cx="2219325" cy="735965"/>
          <wp:effectExtent l="0" t="0" r="9525" b="6985"/>
          <wp:wrapSquare wrapText="bothSides"/>
          <wp:docPr id="421939952" name="Picture 2"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088120" name="Picture 2" descr="National Redress Schem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359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EE72" w14:textId="77777777" w:rsidR="001D0461" w:rsidRDefault="001D0461" w:rsidP="002D52AC">
    <w:pPr>
      <w:pStyle w:val="Header"/>
      <w:ind w:left="-567"/>
    </w:pPr>
    <w:r>
      <w:rPr>
        <w:noProof/>
      </w:rPr>
      <w:drawing>
        <wp:anchor distT="0" distB="0" distL="114300" distR="114300" simplePos="0" relativeHeight="251659264" behindDoc="0" locked="0" layoutInCell="1" allowOverlap="1" wp14:anchorId="58BB7662" wp14:editId="2AB9833E">
          <wp:simplePos x="0" y="0"/>
          <wp:positionH relativeFrom="column">
            <wp:posOffset>-361950</wp:posOffset>
          </wp:positionH>
          <wp:positionV relativeFrom="paragraph">
            <wp:posOffset>-3810</wp:posOffset>
          </wp:positionV>
          <wp:extent cx="2219325" cy="735965"/>
          <wp:effectExtent l="0" t="0" r="9525" b="6985"/>
          <wp:wrapNone/>
          <wp:docPr id="1313704293" name="Picture 2"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60441" name="Picture 2" descr="National Redress Schem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35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B3EBE" w14:textId="77777777" w:rsidR="00B04ED8" w:rsidRDefault="00B04ED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4ECAC" w14:textId="2E579240" w:rsidR="00B04ED8" w:rsidRDefault="00962079">
    <w:pPr>
      <w:pStyle w:val="Header"/>
    </w:pPr>
    <w:r>
      <w:rPr>
        <w:noProof/>
      </w:rPr>
      <w:drawing>
        <wp:anchor distT="0" distB="0" distL="114300" distR="114300" simplePos="0" relativeHeight="251662336" behindDoc="0" locked="0" layoutInCell="1" allowOverlap="1" wp14:anchorId="70926C67" wp14:editId="38002FC9">
          <wp:simplePos x="0" y="0"/>
          <wp:positionH relativeFrom="column">
            <wp:posOffset>-438150</wp:posOffset>
          </wp:positionH>
          <wp:positionV relativeFrom="paragraph">
            <wp:posOffset>-314960</wp:posOffset>
          </wp:positionV>
          <wp:extent cx="2219325" cy="735965"/>
          <wp:effectExtent l="0" t="0" r="9525" b="6985"/>
          <wp:wrapNone/>
          <wp:docPr id="789529843" name="Picture 2" descr="National Redress Sche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9334" name="Picture 2" descr="National Redress Schem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735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B14F" w14:textId="77777777" w:rsidR="00B04ED8" w:rsidRDefault="00B04E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7645"/>
    <w:multiLevelType w:val="hybridMultilevel"/>
    <w:tmpl w:val="1A3E035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56535E"/>
    <w:multiLevelType w:val="hybridMultilevel"/>
    <w:tmpl w:val="1D5CC81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DC3B40"/>
    <w:multiLevelType w:val="hybridMultilevel"/>
    <w:tmpl w:val="2D44F36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DFE5916"/>
    <w:multiLevelType w:val="hybridMultilevel"/>
    <w:tmpl w:val="B6C64B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4129C"/>
    <w:multiLevelType w:val="hybridMultilevel"/>
    <w:tmpl w:val="4A60B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674AD"/>
    <w:multiLevelType w:val="hybridMultilevel"/>
    <w:tmpl w:val="BD9C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9E537E"/>
    <w:multiLevelType w:val="hybridMultilevel"/>
    <w:tmpl w:val="936E6A7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F903270"/>
    <w:multiLevelType w:val="hybridMultilevel"/>
    <w:tmpl w:val="3DE632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70FDA"/>
    <w:multiLevelType w:val="hybridMultilevel"/>
    <w:tmpl w:val="851E390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CC5E40"/>
    <w:multiLevelType w:val="hybridMultilevel"/>
    <w:tmpl w:val="0D26AA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CB3754"/>
    <w:multiLevelType w:val="hybridMultilevel"/>
    <w:tmpl w:val="9ED87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E4B4454"/>
    <w:multiLevelType w:val="hybridMultilevel"/>
    <w:tmpl w:val="03DED868"/>
    <w:lvl w:ilvl="0" w:tplc="D17290DC">
      <w:start w:val="1"/>
      <w:numFmt w:val="bullet"/>
      <w:lvlText w:val="•"/>
      <w:lvlJc w:val="left"/>
      <w:pPr>
        <w:tabs>
          <w:tab w:val="num" w:pos="720"/>
        </w:tabs>
        <w:ind w:left="720" w:hanging="360"/>
      </w:pPr>
      <w:rPr>
        <w:rFonts w:ascii="Arial" w:hAnsi="Arial" w:hint="default"/>
      </w:rPr>
    </w:lvl>
    <w:lvl w:ilvl="1" w:tplc="EBBC3B5C">
      <w:start w:val="1"/>
      <w:numFmt w:val="bullet"/>
      <w:lvlText w:val="•"/>
      <w:lvlJc w:val="left"/>
      <w:pPr>
        <w:tabs>
          <w:tab w:val="num" w:pos="1440"/>
        </w:tabs>
        <w:ind w:left="1440" w:hanging="360"/>
      </w:pPr>
      <w:rPr>
        <w:rFonts w:ascii="Arial" w:hAnsi="Arial" w:hint="default"/>
      </w:rPr>
    </w:lvl>
    <w:lvl w:ilvl="2" w:tplc="88C2113E">
      <w:start w:val="1"/>
      <w:numFmt w:val="bullet"/>
      <w:lvlText w:val="•"/>
      <w:lvlJc w:val="left"/>
      <w:pPr>
        <w:tabs>
          <w:tab w:val="num" w:pos="2160"/>
        </w:tabs>
        <w:ind w:left="2160" w:hanging="360"/>
      </w:pPr>
      <w:rPr>
        <w:rFonts w:ascii="Arial" w:hAnsi="Arial" w:hint="default"/>
      </w:rPr>
    </w:lvl>
    <w:lvl w:ilvl="3" w:tplc="EAB00174" w:tentative="1">
      <w:start w:val="1"/>
      <w:numFmt w:val="bullet"/>
      <w:lvlText w:val="•"/>
      <w:lvlJc w:val="left"/>
      <w:pPr>
        <w:tabs>
          <w:tab w:val="num" w:pos="2880"/>
        </w:tabs>
        <w:ind w:left="2880" w:hanging="360"/>
      </w:pPr>
      <w:rPr>
        <w:rFonts w:ascii="Arial" w:hAnsi="Arial" w:hint="default"/>
      </w:rPr>
    </w:lvl>
    <w:lvl w:ilvl="4" w:tplc="3760D8B4" w:tentative="1">
      <w:start w:val="1"/>
      <w:numFmt w:val="bullet"/>
      <w:lvlText w:val="•"/>
      <w:lvlJc w:val="left"/>
      <w:pPr>
        <w:tabs>
          <w:tab w:val="num" w:pos="3600"/>
        </w:tabs>
        <w:ind w:left="3600" w:hanging="360"/>
      </w:pPr>
      <w:rPr>
        <w:rFonts w:ascii="Arial" w:hAnsi="Arial" w:hint="default"/>
      </w:rPr>
    </w:lvl>
    <w:lvl w:ilvl="5" w:tplc="F576550C" w:tentative="1">
      <w:start w:val="1"/>
      <w:numFmt w:val="bullet"/>
      <w:lvlText w:val="•"/>
      <w:lvlJc w:val="left"/>
      <w:pPr>
        <w:tabs>
          <w:tab w:val="num" w:pos="4320"/>
        </w:tabs>
        <w:ind w:left="4320" w:hanging="360"/>
      </w:pPr>
      <w:rPr>
        <w:rFonts w:ascii="Arial" w:hAnsi="Arial" w:hint="default"/>
      </w:rPr>
    </w:lvl>
    <w:lvl w:ilvl="6" w:tplc="42E0E900" w:tentative="1">
      <w:start w:val="1"/>
      <w:numFmt w:val="bullet"/>
      <w:lvlText w:val="•"/>
      <w:lvlJc w:val="left"/>
      <w:pPr>
        <w:tabs>
          <w:tab w:val="num" w:pos="5040"/>
        </w:tabs>
        <w:ind w:left="5040" w:hanging="360"/>
      </w:pPr>
      <w:rPr>
        <w:rFonts w:ascii="Arial" w:hAnsi="Arial" w:hint="default"/>
      </w:rPr>
    </w:lvl>
    <w:lvl w:ilvl="7" w:tplc="6C50B50A" w:tentative="1">
      <w:start w:val="1"/>
      <w:numFmt w:val="bullet"/>
      <w:lvlText w:val="•"/>
      <w:lvlJc w:val="left"/>
      <w:pPr>
        <w:tabs>
          <w:tab w:val="num" w:pos="5760"/>
        </w:tabs>
        <w:ind w:left="5760" w:hanging="360"/>
      </w:pPr>
      <w:rPr>
        <w:rFonts w:ascii="Arial" w:hAnsi="Arial" w:hint="default"/>
      </w:rPr>
    </w:lvl>
    <w:lvl w:ilvl="8" w:tplc="E736C14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EA014EA"/>
    <w:multiLevelType w:val="hybridMultilevel"/>
    <w:tmpl w:val="1C52C4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6363551">
    <w:abstractNumId w:val="11"/>
  </w:num>
  <w:num w:numId="2" w16cid:durableId="1562253533">
    <w:abstractNumId w:val="4"/>
  </w:num>
  <w:num w:numId="3" w16cid:durableId="1715960422">
    <w:abstractNumId w:val="10"/>
  </w:num>
  <w:num w:numId="4" w16cid:durableId="706370337">
    <w:abstractNumId w:val="9"/>
  </w:num>
  <w:num w:numId="5" w16cid:durableId="247495914">
    <w:abstractNumId w:val="12"/>
  </w:num>
  <w:num w:numId="6" w16cid:durableId="859242655">
    <w:abstractNumId w:val="0"/>
  </w:num>
  <w:num w:numId="7" w16cid:durableId="134643308">
    <w:abstractNumId w:val="7"/>
  </w:num>
  <w:num w:numId="8" w16cid:durableId="780345970">
    <w:abstractNumId w:val="1"/>
  </w:num>
  <w:num w:numId="9" w16cid:durableId="2021196808">
    <w:abstractNumId w:val="8"/>
  </w:num>
  <w:num w:numId="10" w16cid:durableId="1989749426">
    <w:abstractNumId w:val="3"/>
  </w:num>
  <w:num w:numId="11" w16cid:durableId="1028143992">
    <w:abstractNumId w:val="5"/>
  </w:num>
  <w:num w:numId="12" w16cid:durableId="1495411745">
    <w:abstractNumId w:val="2"/>
  </w:num>
  <w:num w:numId="13" w16cid:durableId="1066687829">
    <w:abstractNumId w:val="6"/>
  </w:num>
  <w:num w:numId="14" w16cid:durableId="11406099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61"/>
    <w:rsid w:val="00001655"/>
    <w:rsid w:val="00005633"/>
    <w:rsid w:val="00025E49"/>
    <w:rsid w:val="00035F5E"/>
    <w:rsid w:val="00040C74"/>
    <w:rsid w:val="00042B8C"/>
    <w:rsid w:val="000503FD"/>
    <w:rsid w:val="00060F0C"/>
    <w:rsid w:val="000666E9"/>
    <w:rsid w:val="00085E52"/>
    <w:rsid w:val="000A15D1"/>
    <w:rsid w:val="000A4CCE"/>
    <w:rsid w:val="000A5206"/>
    <w:rsid w:val="000C529D"/>
    <w:rsid w:val="000D2791"/>
    <w:rsid w:val="000E5C49"/>
    <w:rsid w:val="000F0633"/>
    <w:rsid w:val="000F7A53"/>
    <w:rsid w:val="00101103"/>
    <w:rsid w:val="00101281"/>
    <w:rsid w:val="001066FE"/>
    <w:rsid w:val="00121EB1"/>
    <w:rsid w:val="00125933"/>
    <w:rsid w:val="00142458"/>
    <w:rsid w:val="00142648"/>
    <w:rsid w:val="001536E8"/>
    <w:rsid w:val="001573A0"/>
    <w:rsid w:val="00157710"/>
    <w:rsid w:val="00182531"/>
    <w:rsid w:val="00187AC5"/>
    <w:rsid w:val="00190CA3"/>
    <w:rsid w:val="00194DC9"/>
    <w:rsid w:val="001B67E6"/>
    <w:rsid w:val="001C1C89"/>
    <w:rsid w:val="001D0461"/>
    <w:rsid w:val="001D3847"/>
    <w:rsid w:val="001E21EC"/>
    <w:rsid w:val="001E630D"/>
    <w:rsid w:val="001F2556"/>
    <w:rsid w:val="00204062"/>
    <w:rsid w:val="002352E9"/>
    <w:rsid w:val="00240E3C"/>
    <w:rsid w:val="002564B9"/>
    <w:rsid w:val="0027097F"/>
    <w:rsid w:val="00284DC9"/>
    <w:rsid w:val="002A379B"/>
    <w:rsid w:val="002A3BE0"/>
    <w:rsid w:val="002B4629"/>
    <w:rsid w:val="002C0E9A"/>
    <w:rsid w:val="002D25CC"/>
    <w:rsid w:val="002E3582"/>
    <w:rsid w:val="00334731"/>
    <w:rsid w:val="00337A9A"/>
    <w:rsid w:val="0035625A"/>
    <w:rsid w:val="00362873"/>
    <w:rsid w:val="0037093D"/>
    <w:rsid w:val="00375292"/>
    <w:rsid w:val="0038574B"/>
    <w:rsid w:val="00385CAE"/>
    <w:rsid w:val="00387EA9"/>
    <w:rsid w:val="0039578B"/>
    <w:rsid w:val="0039693D"/>
    <w:rsid w:val="003A2394"/>
    <w:rsid w:val="003A5B4A"/>
    <w:rsid w:val="003B2BB8"/>
    <w:rsid w:val="003C4F33"/>
    <w:rsid w:val="003D34FF"/>
    <w:rsid w:val="003D68FD"/>
    <w:rsid w:val="003E5B36"/>
    <w:rsid w:val="003E7F89"/>
    <w:rsid w:val="003F070E"/>
    <w:rsid w:val="003F549E"/>
    <w:rsid w:val="003F5CEA"/>
    <w:rsid w:val="0043381F"/>
    <w:rsid w:val="004342C5"/>
    <w:rsid w:val="0043779E"/>
    <w:rsid w:val="00492EC9"/>
    <w:rsid w:val="004A7073"/>
    <w:rsid w:val="004B54CA"/>
    <w:rsid w:val="004C3F77"/>
    <w:rsid w:val="004C4E25"/>
    <w:rsid w:val="004E1EEE"/>
    <w:rsid w:val="004E4F98"/>
    <w:rsid w:val="004E5CBF"/>
    <w:rsid w:val="004F4670"/>
    <w:rsid w:val="00501068"/>
    <w:rsid w:val="005026D1"/>
    <w:rsid w:val="005123A4"/>
    <w:rsid w:val="0051775C"/>
    <w:rsid w:val="0052019B"/>
    <w:rsid w:val="00537162"/>
    <w:rsid w:val="005405AA"/>
    <w:rsid w:val="00547C56"/>
    <w:rsid w:val="00570B81"/>
    <w:rsid w:val="00570C38"/>
    <w:rsid w:val="00572025"/>
    <w:rsid w:val="0057327D"/>
    <w:rsid w:val="005813C9"/>
    <w:rsid w:val="005A21E4"/>
    <w:rsid w:val="005B64DF"/>
    <w:rsid w:val="005B67E4"/>
    <w:rsid w:val="005C3AA9"/>
    <w:rsid w:val="005C44FD"/>
    <w:rsid w:val="005D09AA"/>
    <w:rsid w:val="005D45C1"/>
    <w:rsid w:val="005D65B7"/>
    <w:rsid w:val="005F11F3"/>
    <w:rsid w:val="00603D7D"/>
    <w:rsid w:val="006107D8"/>
    <w:rsid w:val="00617289"/>
    <w:rsid w:val="00621FC5"/>
    <w:rsid w:val="00637B02"/>
    <w:rsid w:val="00645684"/>
    <w:rsid w:val="0064734B"/>
    <w:rsid w:val="006516B1"/>
    <w:rsid w:val="00657310"/>
    <w:rsid w:val="00657836"/>
    <w:rsid w:val="0066745B"/>
    <w:rsid w:val="006726DF"/>
    <w:rsid w:val="00683A84"/>
    <w:rsid w:val="00684697"/>
    <w:rsid w:val="006860BD"/>
    <w:rsid w:val="00687044"/>
    <w:rsid w:val="006875E3"/>
    <w:rsid w:val="006916C4"/>
    <w:rsid w:val="006928D0"/>
    <w:rsid w:val="0069651E"/>
    <w:rsid w:val="006A0547"/>
    <w:rsid w:val="006A4CE7"/>
    <w:rsid w:val="006D0AF9"/>
    <w:rsid w:val="006D3248"/>
    <w:rsid w:val="006D4498"/>
    <w:rsid w:val="006D51A6"/>
    <w:rsid w:val="006F0B77"/>
    <w:rsid w:val="006F2744"/>
    <w:rsid w:val="00720B75"/>
    <w:rsid w:val="007601C6"/>
    <w:rsid w:val="00767AED"/>
    <w:rsid w:val="00770921"/>
    <w:rsid w:val="00785261"/>
    <w:rsid w:val="0078610C"/>
    <w:rsid w:val="007872EE"/>
    <w:rsid w:val="007935D9"/>
    <w:rsid w:val="007B0256"/>
    <w:rsid w:val="007E24D0"/>
    <w:rsid w:val="007E7CFD"/>
    <w:rsid w:val="0081600C"/>
    <w:rsid w:val="00827D3A"/>
    <w:rsid w:val="0083177B"/>
    <w:rsid w:val="00835DDA"/>
    <w:rsid w:val="008460C4"/>
    <w:rsid w:val="008462E3"/>
    <w:rsid w:val="00853011"/>
    <w:rsid w:val="0086756F"/>
    <w:rsid w:val="00870009"/>
    <w:rsid w:val="00870AC8"/>
    <w:rsid w:val="00882A79"/>
    <w:rsid w:val="00882C26"/>
    <w:rsid w:val="00885731"/>
    <w:rsid w:val="008868D1"/>
    <w:rsid w:val="00887982"/>
    <w:rsid w:val="008901F6"/>
    <w:rsid w:val="008A3E78"/>
    <w:rsid w:val="008A680A"/>
    <w:rsid w:val="008F1C1E"/>
    <w:rsid w:val="008F1C48"/>
    <w:rsid w:val="00920F8A"/>
    <w:rsid w:val="009225F0"/>
    <w:rsid w:val="00927DC2"/>
    <w:rsid w:val="0093462C"/>
    <w:rsid w:val="00941414"/>
    <w:rsid w:val="00953795"/>
    <w:rsid w:val="0096176D"/>
    <w:rsid w:val="00962079"/>
    <w:rsid w:val="00974189"/>
    <w:rsid w:val="00977DF0"/>
    <w:rsid w:val="00987947"/>
    <w:rsid w:val="009A2053"/>
    <w:rsid w:val="009C0694"/>
    <w:rsid w:val="009C57AC"/>
    <w:rsid w:val="009E78A5"/>
    <w:rsid w:val="009F4DD0"/>
    <w:rsid w:val="009F7115"/>
    <w:rsid w:val="00A02F47"/>
    <w:rsid w:val="00A06D66"/>
    <w:rsid w:val="00A16BE8"/>
    <w:rsid w:val="00A25E54"/>
    <w:rsid w:val="00A4726F"/>
    <w:rsid w:val="00A61D06"/>
    <w:rsid w:val="00A628D1"/>
    <w:rsid w:val="00A8354D"/>
    <w:rsid w:val="00A83F7C"/>
    <w:rsid w:val="00A84121"/>
    <w:rsid w:val="00AA52DF"/>
    <w:rsid w:val="00AA6CEB"/>
    <w:rsid w:val="00AA73A0"/>
    <w:rsid w:val="00AD1449"/>
    <w:rsid w:val="00AD55EF"/>
    <w:rsid w:val="00AE4E9F"/>
    <w:rsid w:val="00B03160"/>
    <w:rsid w:val="00B04ED8"/>
    <w:rsid w:val="00B2196D"/>
    <w:rsid w:val="00B31CD7"/>
    <w:rsid w:val="00B34C68"/>
    <w:rsid w:val="00B477B6"/>
    <w:rsid w:val="00B51BA0"/>
    <w:rsid w:val="00B64061"/>
    <w:rsid w:val="00B64629"/>
    <w:rsid w:val="00B740F4"/>
    <w:rsid w:val="00B8491A"/>
    <w:rsid w:val="00B86103"/>
    <w:rsid w:val="00B91E3E"/>
    <w:rsid w:val="00BA2258"/>
    <w:rsid w:val="00BA2DB9"/>
    <w:rsid w:val="00BC0990"/>
    <w:rsid w:val="00BC1298"/>
    <w:rsid w:val="00BC2216"/>
    <w:rsid w:val="00BC65A4"/>
    <w:rsid w:val="00BD6EDA"/>
    <w:rsid w:val="00BE7148"/>
    <w:rsid w:val="00C06038"/>
    <w:rsid w:val="00C82863"/>
    <w:rsid w:val="00C83533"/>
    <w:rsid w:val="00C84DD7"/>
    <w:rsid w:val="00C903FC"/>
    <w:rsid w:val="00C97EFE"/>
    <w:rsid w:val="00CB5863"/>
    <w:rsid w:val="00CB5A6D"/>
    <w:rsid w:val="00CC2416"/>
    <w:rsid w:val="00CC59D6"/>
    <w:rsid w:val="00CD1E7B"/>
    <w:rsid w:val="00CD350A"/>
    <w:rsid w:val="00CD4F53"/>
    <w:rsid w:val="00CD7392"/>
    <w:rsid w:val="00CE09B4"/>
    <w:rsid w:val="00D17661"/>
    <w:rsid w:val="00D27285"/>
    <w:rsid w:val="00D47158"/>
    <w:rsid w:val="00D64C97"/>
    <w:rsid w:val="00D7186F"/>
    <w:rsid w:val="00D76783"/>
    <w:rsid w:val="00D83751"/>
    <w:rsid w:val="00D86067"/>
    <w:rsid w:val="00D943A6"/>
    <w:rsid w:val="00DA243A"/>
    <w:rsid w:val="00DA26D3"/>
    <w:rsid w:val="00DA27C1"/>
    <w:rsid w:val="00DA5ECD"/>
    <w:rsid w:val="00DB25D4"/>
    <w:rsid w:val="00DC154A"/>
    <w:rsid w:val="00DC2422"/>
    <w:rsid w:val="00DC3A60"/>
    <w:rsid w:val="00DE30D4"/>
    <w:rsid w:val="00DF41C6"/>
    <w:rsid w:val="00DF6019"/>
    <w:rsid w:val="00E012BD"/>
    <w:rsid w:val="00E10B84"/>
    <w:rsid w:val="00E16E00"/>
    <w:rsid w:val="00E23D6F"/>
    <w:rsid w:val="00E2405D"/>
    <w:rsid w:val="00E273E4"/>
    <w:rsid w:val="00E42506"/>
    <w:rsid w:val="00E439C8"/>
    <w:rsid w:val="00E60580"/>
    <w:rsid w:val="00E62D67"/>
    <w:rsid w:val="00E63A76"/>
    <w:rsid w:val="00E67B7D"/>
    <w:rsid w:val="00E9154A"/>
    <w:rsid w:val="00E9536D"/>
    <w:rsid w:val="00E96751"/>
    <w:rsid w:val="00EB63CD"/>
    <w:rsid w:val="00ED2E91"/>
    <w:rsid w:val="00ED6DA3"/>
    <w:rsid w:val="00EE589F"/>
    <w:rsid w:val="00F11AAB"/>
    <w:rsid w:val="00F160F9"/>
    <w:rsid w:val="00F30AFE"/>
    <w:rsid w:val="00F45A1D"/>
    <w:rsid w:val="00F66726"/>
    <w:rsid w:val="00F7076A"/>
    <w:rsid w:val="00F82294"/>
    <w:rsid w:val="00F83363"/>
    <w:rsid w:val="00F83448"/>
    <w:rsid w:val="00F85A9E"/>
    <w:rsid w:val="00F85FCF"/>
    <w:rsid w:val="00FC6D27"/>
    <w:rsid w:val="00FE4B65"/>
    <w:rsid w:val="00FE6665"/>
    <w:rsid w:val="00FE7CBD"/>
    <w:rsid w:val="00FE7F35"/>
    <w:rsid w:val="00FF79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37B76"/>
  <w15:chartTrackingRefBased/>
  <w15:docId w15:val="{4DC3DB40-DDE5-49BD-93C4-2BB7D530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461"/>
    <w:rPr>
      <w:rFonts w:ascii="Arial" w:hAnsi="Arial"/>
      <w:kern w:val="0"/>
      <w14:ligatures w14:val="none"/>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paragraph" w:styleId="NormalWeb">
    <w:name w:val="Normal (Web)"/>
    <w:basedOn w:val="Normal"/>
    <w:uiPriority w:val="99"/>
    <w:semiHidden/>
    <w:unhideWhenUsed/>
    <w:rsid w:val="001D046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1D0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61"/>
    <w:rPr>
      <w:rFonts w:ascii="Segoe UI" w:hAnsi="Segoe UI" w:cs="Segoe UI"/>
      <w:kern w:val="0"/>
      <w:sz w:val="18"/>
      <w:szCs w:val="18"/>
      <w14:ligatures w14:val="none"/>
    </w:rPr>
  </w:style>
  <w:style w:type="paragraph" w:styleId="BodyText">
    <w:name w:val="Body Text"/>
    <w:basedOn w:val="Normal"/>
    <w:link w:val="BodyTextChar"/>
    <w:uiPriority w:val="1"/>
    <w:qFormat/>
    <w:rsid w:val="001D046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1D0461"/>
    <w:rPr>
      <w:rFonts w:ascii="Calibri" w:eastAsia="Calibri" w:hAnsi="Calibri" w:cs="Calibri"/>
      <w:kern w:val="0"/>
      <w:sz w:val="24"/>
      <w:szCs w:val="24"/>
      <w14:ligatures w14:val="none"/>
    </w:rPr>
  </w:style>
  <w:style w:type="table" w:styleId="GridTable3">
    <w:name w:val="Grid Table 3"/>
    <w:basedOn w:val="TableNormal"/>
    <w:uiPriority w:val="48"/>
    <w:rsid w:val="001D0461"/>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3">
    <w:name w:val="Plain Table 3"/>
    <w:basedOn w:val="TableNormal"/>
    <w:uiPriority w:val="43"/>
    <w:rsid w:val="001D0461"/>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1D0461"/>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jsgrdq">
    <w:name w:val="jsgrdq"/>
    <w:basedOn w:val="DefaultParagraphFont"/>
    <w:rsid w:val="001D0461"/>
  </w:style>
  <w:style w:type="paragraph" w:styleId="Revision">
    <w:name w:val="Revision"/>
    <w:hidden/>
    <w:uiPriority w:val="99"/>
    <w:semiHidden/>
    <w:rsid w:val="001D0461"/>
    <w:pPr>
      <w:spacing w:after="0" w:line="240" w:lineRule="auto"/>
    </w:pPr>
    <w:rPr>
      <w:rFonts w:ascii="Arial" w:hAnsi="Arial"/>
      <w:kern w:val="0"/>
      <w14:ligatures w14:val="none"/>
    </w:rPr>
  </w:style>
  <w:style w:type="paragraph" w:styleId="EndnoteText">
    <w:name w:val="endnote text"/>
    <w:basedOn w:val="Normal"/>
    <w:link w:val="EndnoteTextChar"/>
    <w:uiPriority w:val="99"/>
    <w:semiHidden/>
    <w:unhideWhenUsed/>
    <w:rsid w:val="001D046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461"/>
    <w:rPr>
      <w:rFonts w:ascii="Arial" w:hAnsi="Arial"/>
      <w:kern w:val="0"/>
      <w:sz w:val="20"/>
      <w:szCs w:val="20"/>
      <w14:ligatures w14:val="none"/>
    </w:rPr>
  </w:style>
  <w:style w:type="character" w:styleId="EndnoteReference">
    <w:name w:val="endnote reference"/>
    <w:basedOn w:val="DefaultParagraphFont"/>
    <w:uiPriority w:val="99"/>
    <w:semiHidden/>
    <w:unhideWhenUsed/>
    <w:rsid w:val="001D0461"/>
    <w:rPr>
      <w:vertAlign w:val="superscript"/>
    </w:rPr>
  </w:style>
  <w:style w:type="paragraph" w:styleId="FootnoteText">
    <w:name w:val="footnote text"/>
    <w:basedOn w:val="Normal"/>
    <w:link w:val="FootnoteTextChar"/>
    <w:uiPriority w:val="99"/>
    <w:semiHidden/>
    <w:unhideWhenUsed/>
    <w:rsid w:val="001D04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461"/>
    <w:rPr>
      <w:rFonts w:ascii="Arial" w:hAnsi="Arial"/>
      <w:kern w:val="0"/>
      <w:sz w:val="20"/>
      <w:szCs w:val="20"/>
      <w14:ligatures w14:val="none"/>
    </w:rPr>
  </w:style>
  <w:style w:type="character" w:styleId="FootnoteReference">
    <w:name w:val="footnote reference"/>
    <w:basedOn w:val="DefaultParagraphFont"/>
    <w:uiPriority w:val="99"/>
    <w:semiHidden/>
    <w:unhideWhenUsed/>
    <w:rsid w:val="001D0461"/>
    <w:rPr>
      <w:vertAlign w:val="superscript"/>
    </w:rPr>
  </w:style>
  <w:style w:type="paragraph" w:styleId="TOC1">
    <w:name w:val="toc 1"/>
    <w:basedOn w:val="Normal"/>
    <w:next w:val="Normal"/>
    <w:autoRedefine/>
    <w:uiPriority w:val="39"/>
    <w:unhideWhenUsed/>
    <w:rsid w:val="001D0461"/>
    <w:pPr>
      <w:tabs>
        <w:tab w:val="right" w:leader="dot" w:pos="9016"/>
      </w:tabs>
      <w:spacing w:after="100"/>
    </w:pPr>
  </w:style>
  <w:style w:type="paragraph" w:styleId="TOC2">
    <w:name w:val="toc 2"/>
    <w:basedOn w:val="Normal"/>
    <w:next w:val="Normal"/>
    <w:autoRedefine/>
    <w:uiPriority w:val="39"/>
    <w:unhideWhenUsed/>
    <w:rsid w:val="001D0461"/>
    <w:pPr>
      <w:tabs>
        <w:tab w:val="right" w:leader="dot" w:pos="9016"/>
      </w:tabs>
      <w:spacing w:after="100"/>
      <w:ind w:left="220"/>
    </w:pPr>
  </w:style>
  <w:style w:type="paragraph" w:styleId="TOC3">
    <w:name w:val="toc 3"/>
    <w:basedOn w:val="Normal"/>
    <w:next w:val="Normal"/>
    <w:autoRedefine/>
    <w:uiPriority w:val="39"/>
    <w:unhideWhenUsed/>
    <w:rsid w:val="001D0461"/>
    <w:pPr>
      <w:tabs>
        <w:tab w:val="right" w:leader="dot" w:pos="9016"/>
      </w:tabs>
      <w:spacing w:after="100"/>
      <w:ind w:left="440"/>
    </w:pPr>
  </w:style>
  <w:style w:type="character" w:styleId="Hyperlink">
    <w:name w:val="Hyperlink"/>
    <w:basedOn w:val="DefaultParagraphFont"/>
    <w:uiPriority w:val="99"/>
    <w:unhideWhenUsed/>
    <w:rsid w:val="001D0461"/>
    <w:rPr>
      <w:color w:val="0000FF" w:themeColor="hyperlink"/>
      <w:u w:val="single"/>
    </w:rPr>
  </w:style>
  <w:style w:type="character" w:styleId="CommentReference">
    <w:name w:val="annotation reference"/>
    <w:basedOn w:val="DefaultParagraphFont"/>
    <w:uiPriority w:val="99"/>
    <w:semiHidden/>
    <w:unhideWhenUsed/>
    <w:rsid w:val="001D0461"/>
    <w:rPr>
      <w:sz w:val="16"/>
      <w:szCs w:val="16"/>
    </w:rPr>
  </w:style>
  <w:style w:type="paragraph" w:styleId="CommentText">
    <w:name w:val="annotation text"/>
    <w:basedOn w:val="Normal"/>
    <w:link w:val="CommentTextChar"/>
    <w:uiPriority w:val="99"/>
    <w:unhideWhenUsed/>
    <w:rsid w:val="001D0461"/>
    <w:pPr>
      <w:spacing w:line="240" w:lineRule="auto"/>
    </w:pPr>
    <w:rPr>
      <w:sz w:val="20"/>
      <w:szCs w:val="20"/>
    </w:rPr>
  </w:style>
  <w:style w:type="character" w:customStyle="1" w:styleId="CommentTextChar">
    <w:name w:val="Comment Text Char"/>
    <w:basedOn w:val="DefaultParagraphFont"/>
    <w:link w:val="CommentText"/>
    <w:uiPriority w:val="99"/>
    <w:rsid w:val="001D0461"/>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D0461"/>
    <w:rPr>
      <w:b/>
      <w:bCs/>
    </w:rPr>
  </w:style>
  <w:style w:type="character" w:customStyle="1" w:styleId="CommentSubjectChar">
    <w:name w:val="Comment Subject Char"/>
    <w:basedOn w:val="CommentTextChar"/>
    <w:link w:val="CommentSubject"/>
    <w:uiPriority w:val="99"/>
    <w:semiHidden/>
    <w:rsid w:val="001D0461"/>
    <w:rPr>
      <w:rFonts w:ascii="Arial" w:hAnsi="Arial"/>
      <w:b/>
      <w:bCs/>
      <w:kern w:val="0"/>
      <w:sz w:val="20"/>
      <w:szCs w:val="20"/>
      <w14:ligatures w14:val="none"/>
    </w:rPr>
  </w:style>
  <w:style w:type="character" w:styleId="UnresolvedMention">
    <w:name w:val="Unresolved Mention"/>
    <w:basedOn w:val="DefaultParagraphFont"/>
    <w:uiPriority w:val="99"/>
    <w:semiHidden/>
    <w:unhideWhenUsed/>
    <w:rsid w:val="001D0461"/>
    <w:rPr>
      <w:color w:val="605E5C"/>
      <w:shd w:val="clear" w:color="auto" w:fill="E1DFDD"/>
    </w:rPr>
  </w:style>
  <w:style w:type="paragraph" w:styleId="TableofFigures">
    <w:name w:val="table of figures"/>
    <w:basedOn w:val="Normal"/>
    <w:next w:val="Normal"/>
    <w:uiPriority w:val="99"/>
    <w:unhideWhenUsed/>
    <w:rsid w:val="001D0461"/>
    <w:pPr>
      <w:spacing w:after="0"/>
    </w:pPr>
  </w:style>
  <w:style w:type="table" w:styleId="TableGrid">
    <w:name w:val="Table Grid"/>
    <w:basedOn w:val="TableNormal"/>
    <w:uiPriority w:val="59"/>
    <w:rsid w:val="001D046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footer" Target="footer1.xml"/><Relationship Id="rId26" Type="http://schemas.openxmlformats.org/officeDocument/2006/relationships/header" Target="header4.xml"/><Relationship Id="rId21" Type="http://schemas.openxmlformats.org/officeDocument/2006/relationships/chart" Target="charts/chart6.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oter" Target="foot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2.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hart" Target="charts/chart9.xml"/><Relationship Id="rId32" Type="http://schemas.openxmlformats.org/officeDocument/2006/relationships/header" Target="header7.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hart" Target="charts/chart4.xml"/><Relationship Id="rId23" Type="http://schemas.openxmlformats.org/officeDocument/2006/relationships/chart" Target="charts/chart8.xm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3.xml"/><Relationship Id="rId22" Type="http://schemas.openxmlformats.org/officeDocument/2006/relationships/chart" Target="charts/chart7.xml"/><Relationship Id="rId27" Type="http://schemas.openxmlformats.org/officeDocument/2006/relationships/footer" Target="footer3.xml"/><Relationship Id="rId30" Type="http://schemas.openxmlformats.org/officeDocument/2006/relationships/footer" Target="footer5.xml"/><Relationship Id="rId35"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PRINFNAS002N\Shared_Dept\Redress%20Group\Redress%20Enabling%20Services%20Branch\Scheme%20Performance%20Team\Scheme%20Success%20measures\Dec%202025\Success%20Measure%20Data%20at%20December%202025.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632174103237095"/>
          <c:y val="0.28792833187518224"/>
          <c:w val="0.86312270341207353"/>
          <c:h val="0.46975867599883347"/>
        </c:manualLayout>
      </c:layout>
      <c:lineChart>
        <c:grouping val="standard"/>
        <c:varyColors val="0"/>
        <c:ser>
          <c:idx val="0"/>
          <c:order val="0"/>
          <c:tx>
            <c:strRef>
              <c:f>[2]Linked_Data_C!$O$290</c:f>
              <c:strCache>
                <c:ptCount val="1"/>
                <c:pt idx="0">
                  <c:v>Actual</c:v>
                </c:pt>
              </c:strCache>
            </c:strRef>
          </c:tx>
          <c:spPr>
            <a:ln w="28575" cap="rnd">
              <a:solidFill>
                <a:srgbClr val="58595B"/>
              </a:solidFill>
              <a:round/>
            </a:ln>
            <a:effectLst/>
          </c:spPr>
          <c:marker>
            <c:symbol val="none"/>
          </c:marker>
          <c:dLbls>
            <c:dLbl>
              <c:idx val="5"/>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5F8-4252-BE65-B15186418E47}"/>
                </c:ext>
              </c:extLst>
            </c:dLbl>
            <c:numFmt formatCode="0%" sourceLinked="0"/>
            <c:spPr>
              <a:solidFill>
                <a:srgbClr val="00B050"/>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b"/>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[2]Linked_Data_C!$N$291:$N$298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[2]Linked_Data_C!$O$291:$O$298</c:f>
              <c:numCache>
                <c:formatCode>General</c:formatCode>
                <c:ptCount val="8"/>
                <c:pt idx="4">
                  <c:v>0.95450000000000002</c:v>
                </c:pt>
                <c:pt idx="5">
                  <c:v>0.94779999999999998</c:v>
                </c:pt>
                <c:pt idx="6">
                  <c:v>0.93149999999999999</c:v>
                </c:pt>
                <c:pt idx="7">
                  <c:v>0.9486</c:v>
                </c:pt>
              </c:numCache>
            </c:numRef>
          </c:val>
          <c:smooth val="0"/>
          <c:extLst>
            <c:ext xmlns:c16="http://schemas.microsoft.com/office/drawing/2014/chart" uri="{C3380CC4-5D6E-409C-BE32-E72D297353CC}">
              <c16:uniqueId val="{00000001-B5F8-4252-BE65-B15186418E47}"/>
            </c:ext>
          </c:extLst>
        </c:ser>
        <c:ser>
          <c:idx val="1"/>
          <c:order val="1"/>
          <c:tx>
            <c:strRef>
              <c:f>[2]Linked_Data_C!$P$290</c:f>
              <c:strCache>
                <c:ptCount val="1"/>
              </c:strCache>
            </c:strRef>
          </c:tx>
          <c:spPr>
            <a:ln w="28575" cap="rnd">
              <a:solidFill>
                <a:schemeClr val="accent2"/>
              </a:solidFill>
              <a:round/>
            </a:ln>
            <a:effectLst/>
          </c:spPr>
          <c:marker>
            <c:symbol val="none"/>
          </c:marker>
          <c:cat>
            <c:strRef>
              <c:f>[2]Linked_Data_C!$N$291:$N$298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[2]Linked_Data_C!$P$291:$P$298</c:f>
              <c:numCache>
                <c:formatCode>General</c:formatCode>
                <c:ptCount val="8"/>
              </c:numCache>
            </c:numRef>
          </c:val>
          <c:smooth val="0"/>
          <c:extLst>
            <c:ext xmlns:c16="http://schemas.microsoft.com/office/drawing/2014/chart" uri="{C3380CC4-5D6E-409C-BE32-E72D297353CC}">
              <c16:uniqueId val="{00000002-B5F8-4252-BE65-B15186418E47}"/>
            </c:ext>
          </c:extLst>
        </c:ser>
        <c:ser>
          <c:idx val="2"/>
          <c:order val="2"/>
          <c:tx>
            <c:strRef>
              <c:f>[2]Linked_Data_C!$Q$290</c:f>
              <c:strCache>
                <c:ptCount val="1"/>
                <c:pt idx="0">
                  <c:v>Target</c:v>
                </c:pt>
              </c:strCache>
            </c:strRef>
          </c:tx>
          <c:spPr>
            <a:ln w="28575" cap="rnd">
              <a:solidFill>
                <a:srgbClr val="DD6D2B"/>
              </a:solidFill>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3-B5F8-4252-BE65-B15186418E47}"/>
                </c:ext>
              </c:extLst>
            </c:dLbl>
            <c:dLbl>
              <c:idx val="1"/>
              <c:delete val="1"/>
              <c:extLst>
                <c:ext xmlns:c15="http://schemas.microsoft.com/office/drawing/2012/chart" uri="{CE6537A1-D6FC-4f65-9D91-7224C49458BB}"/>
                <c:ext xmlns:c16="http://schemas.microsoft.com/office/drawing/2014/chart" uri="{C3380CC4-5D6E-409C-BE32-E72D297353CC}">
                  <c16:uniqueId val="{00000004-B5F8-4252-BE65-B15186418E47}"/>
                </c:ext>
              </c:extLst>
            </c:dLbl>
            <c:dLbl>
              <c:idx val="2"/>
              <c:delete val="1"/>
              <c:extLst>
                <c:ext xmlns:c15="http://schemas.microsoft.com/office/drawing/2012/chart" uri="{CE6537A1-D6FC-4f65-9D91-7224C49458BB}"/>
                <c:ext xmlns:c16="http://schemas.microsoft.com/office/drawing/2014/chart" uri="{C3380CC4-5D6E-409C-BE32-E72D297353CC}">
                  <c16:uniqueId val="{00000005-B5F8-4252-BE65-B15186418E47}"/>
                </c:ext>
              </c:extLst>
            </c:dLbl>
            <c:dLbl>
              <c:idx val="3"/>
              <c:delete val="1"/>
              <c:extLst>
                <c:ext xmlns:c15="http://schemas.microsoft.com/office/drawing/2012/chart" uri="{CE6537A1-D6FC-4f65-9D91-7224C49458BB}"/>
                <c:ext xmlns:c16="http://schemas.microsoft.com/office/drawing/2014/chart" uri="{C3380CC4-5D6E-409C-BE32-E72D297353CC}">
                  <c16:uniqueId val="{00000006-B5F8-4252-BE65-B15186418E47}"/>
                </c:ext>
              </c:extLst>
            </c:dLbl>
            <c:dLbl>
              <c:idx val="4"/>
              <c:delete val="1"/>
              <c:extLst>
                <c:ext xmlns:c15="http://schemas.microsoft.com/office/drawing/2012/chart" uri="{CE6537A1-D6FC-4f65-9D91-7224C49458BB}"/>
                <c:ext xmlns:c16="http://schemas.microsoft.com/office/drawing/2014/chart" uri="{C3380CC4-5D6E-409C-BE32-E72D297353CC}">
                  <c16:uniqueId val="{00000007-B5F8-4252-BE65-B15186418E47}"/>
                </c:ext>
              </c:extLst>
            </c:dLbl>
            <c:dLbl>
              <c:idx val="5"/>
              <c:delete val="1"/>
              <c:extLst>
                <c:ext xmlns:c15="http://schemas.microsoft.com/office/drawing/2012/chart" uri="{CE6537A1-D6FC-4f65-9D91-7224C49458BB}"/>
                <c:ext xmlns:c16="http://schemas.microsoft.com/office/drawing/2014/chart" uri="{C3380CC4-5D6E-409C-BE32-E72D297353CC}">
                  <c16:uniqueId val="{00000008-B5F8-4252-BE65-B15186418E47}"/>
                </c:ext>
              </c:extLst>
            </c:dLbl>
            <c:dLbl>
              <c:idx val="6"/>
              <c:delete val="1"/>
              <c:extLst>
                <c:ext xmlns:c15="http://schemas.microsoft.com/office/drawing/2012/chart" uri="{CE6537A1-D6FC-4f65-9D91-7224C49458BB}"/>
                <c:ext xmlns:c16="http://schemas.microsoft.com/office/drawing/2014/chart" uri="{C3380CC4-5D6E-409C-BE32-E72D297353CC}">
                  <c16:uniqueId val="{00000009-B5F8-4252-BE65-B15186418E47}"/>
                </c:ext>
              </c:extLst>
            </c:dLbl>
            <c:dLbl>
              <c:idx val="7"/>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A-B5F8-4252-BE65-B15186418E47}"/>
                </c:ext>
              </c:extLst>
            </c:dLbl>
            <c:numFmt formatCode="0%" sourceLinked="0"/>
            <c:spPr>
              <a:solidFill>
                <a:srgbClr val="DD6D2B"/>
              </a:solid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[2]Linked_Data_C!$N$291:$N$298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[2]Linked_Data_C!$Q$291:$Q$298</c:f>
              <c:numCache>
                <c:formatCode>General</c:formatCode>
                <c:ptCount val="8"/>
                <c:pt idx="0">
                  <c:v>0.8</c:v>
                </c:pt>
                <c:pt idx="1">
                  <c:v>0.8</c:v>
                </c:pt>
                <c:pt idx="2">
                  <c:v>0.8</c:v>
                </c:pt>
                <c:pt idx="3">
                  <c:v>0.8</c:v>
                </c:pt>
                <c:pt idx="4">
                  <c:v>0.8</c:v>
                </c:pt>
                <c:pt idx="5">
                  <c:v>0.8</c:v>
                </c:pt>
                <c:pt idx="6">
                  <c:v>0.8</c:v>
                </c:pt>
                <c:pt idx="7">
                  <c:v>0.8</c:v>
                </c:pt>
              </c:numCache>
            </c:numRef>
          </c:val>
          <c:smooth val="0"/>
          <c:extLst>
            <c:ext xmlns:c16="http://schemas.microsoft.com/office/drawing/2014/chart" uri="{C3380CC4-5D6E-409C-BE32-E72D297353CC}">
              <c16:uniqueId val="{0000000B-B5F8-4252-BE65-B15186418E47}"/>
            </c:ext>
          </c:extLst>
        </c:ser>
        <c:ser>
          <c:idx val="4"/>
          <c:order val="3"/>
          <c:tx>
            <c:strRef>
              <c:f>[2]Linked_Data_C!$R$290</c:f>
              <c:strCache>
                <c:ptCount val="1"/>
                <c:pt idx="0">
                  <c:v>&lt;Target</c:v>
                </c:pt>
              </c:strCache>
            </c:strRef>
          </c:tx>
          <c:spPr>
            <a:ln w="28575" cap="rnd">
              <a:solidFill>
                <a:srgbClr val="FF0000"/>
              </a:solidFill>
              <a:round/>
            </a:ln>
            <a:effectLst/>
          </c:spPr>
          <c:marker>
            <c:symbol val="square"/>
            <c:size val="8"/>
            <c:spPr>
              <a:solidFill>
                <a:srgbClr val="FF0000"/>
              </a:solidFill>
              <a:ln w="9525">
                <a:solidFill>
                  <a:srgbClr val="FF0000"/>
                </a:solidFill>
              </a:ln>
              <a:effectLst/>
            </c:spPr>
          </c:marker>
          <c:dLbls>
            <c:spPr>
              <a:solidFill>
                <a:srgbClr val="FF0000"/>
              </a:solidFill>
              <a:ln>
                <a:solidFill>
                  <a:srgbClr val="FF000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bg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[2]Linked_Data_C!$N$291:$N$298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[2]Linked_Data_C!$R$291:$R$298</c:f>
              <c:numCache>
                <c:formatCode>General</c:formatCode>
                <c:ptCount val="8"/>
                <c:pt idx="1">
                  <c:v>0</c:v>
                </c:pt>
                <c:pt idx="2">
                  <c:v>0</c:v>
                </c:pt>
                <c:pt idx="3">
                  <c:v>0</c:v>
                </c:pt>
                <c:pt idx="4">
                  <c:v>#N/A</c:v>
                </c:pt>
                <c:pt idx="5">
                  <c:v>#N/A</c:v>
                </c:pt>
                <c:pt idx="6">
                  <c:v>#N/A</c:v>
                </c:pt>
                <c:pt idx="7">
                  <c:v>#N/A</c:v>
                </c:pt>
              </c:numCache>
            </c:numRef>
          </c:val>
          <c:smooth val="0"/>
          <c:extLst>
            <c:ext xmlns:c16="http://schemas.microsoft.com/office/drawing/2014/chart" uri="{C3380CC4-5D6E-409C-BE32-E72D297353CC}">
              <c16:uniqueId val="{0000000C-B5F8-4252-BE65-B15186418E47}"/>
            </c:ext>
          </c:extLst>
        </c:ser>
        <c:ser>
          <c:idx val="3"/>
          <c:order val="4"/>
          <c:tx>
            <c:strRef>
              <c:f>[2]Linked_Data_C!$S$290</c:f>
              <c:strCache>
                <c:ptCount val="1"/>
                <c:pt idx="0">
                  <c:v>&gt;Target</c:v>
                </c:pt>
              </c:strCache>
            </c:strRef>
          </c:tx>
          <c:spPr>
            <a:ln w="28575" cap="rnd">
              <a:noFill/>
              <a:round/>
            </a:ln>
            <a:effectLst/>
          </c:spPr>
          <c:marker>
            <c:symbol val="square"/>
            <c:size val="8"/>
            <c:spPr>
              <a:solidFill>
                <a:srgbClr val="00B050">
                  <a:alpha val="92000"/>
                </a:srgbClr>
              </a:solidFill>
              <a:ln w="9525">
                <a:solidFill>
                  <a:srgbClr val="00B050"/>
                </a:solidFill>
              </a:ln>
              <a:effectLst/>
            </c:spPr>
          </c:marker>
          <c:dLbls>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F8-4252-BE65-B15186418E47}"/>
                </c:ext>
              </c:extLst>
            </c:dLbl>
            <c:dLbl>
              <c:idx val="5"/>
              <c:delete val="1"/>
              <c:extLst>
                <c:ext xmlns:c15="http://schemas.microsoft.com/office/drawing/2012/chart" uri="{CE6537A1-D6FC-4f65-9D91-7224C49458BB}"/>
                <c:ext xmlns:c16="http://schemas.microsoft.com/office/drawing/2014/chart" uri="{C3380CC4-5D6E-409C-BE32-E72D297353CC}">
                  <c16:uniqueId val="{0000000E-B5F8-4252-BE65-B15186418E47}"/>
                </c:ext>
              </c:extLst>
            </c:dLbl>
            <c:numFmt formatCode="0%" sourceLinked="0"/>
            <c:spPr>
              <a:solidFill>
                <a:srgbClr val="00B050">
                  <a:alpha val="95000"/>
                </a:srgbClr>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[2]Linked_Data_C!$N$291:$N$298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[2]Linked_Data_C!$S$291:$S$298</c:f>
              <c:numCache>
                <c:formatCode>General</c:formatCode>
                <c:ptCount val="8"/>
                <c:pt idx="1">
                  <c:v>#N/A</c:v>
                </c:pt>
                <c:pt idx="2">
                  <c:v>#N/A</c:v>
                </c:pt>
                <c:pt idx="3">
                  <c:v>#N/A</c:v>
                </c:pt>
                <c:pt idx="4">
                  <c:v>0.95450000000000002</c:v>
                </c:pt>
                <c:pt idx="5">
                  <c:v>0.94779999999999998</c:v>
                </c:pt>
                <c:pt idx="6">
                  <c:v>0.93149999999999999</c:v>
                </c:pt>
                <c:pt idx="7">
                  <c:v>0.9486</c:v>
                </c:pt>
              </c:numCache>
            </c:numRef>
          </c:val>
          <c:smooth val="0"/>
          <c:extLst>
            <c:ext xmlns:c16="http://schemas.microsoft.com/office/drawing/2014/chart" uri="{C3380CC4-5D6E-409C-BE32-E72D297353CC}">
              <c16:uniqueId val="{0000000F-B5F8-4252-BE65-B15186418E47}"/>
            </c:ext>
          </c:extLst>
        </c:ser>
        <c:dLbls>
          <c:showLegendKey val="0"/>
          <c:showVal val="0"/>
          <c:showCatName val="0"/>
          <c:showSerName val="0"/>
          <c:showPercent val="0"/>
          <c:showBubbleSize val="0"/>
        </c:dLbls>
        <c:smooth val="0"/>
        <c:axId val="840780792"/>
        <c:axId val="840773232"/>
      </c:lineChart>
      <c:catAx>
        <c:axId val="840780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840773232"/>
        <c:crosses val="autoZero"/>
        <c:auto val="1"/>
        <c:lblAlgn val="ctr"/>
        <c:lblOffset val="100"/>
        <c:noMultiLvlLbl val="0"/>
      </c:catAx>
      <c:valAx>
        <c:axId val="840773232"/>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840780792"/>
        <c:crosses val="autoZero"/>
        <c:crossBetween val="between"/>
        <c:majorUnit val="0.1"/>
      </c:valAx>
      <c:spPr>
        <a:noFill/>
        <a:ln>
          <a:noFill/>
        </a:ln>
        <a:effectLst/>
      </c:spPr>
    </c:plotArea>
    <c:legend>
      <c:legendPos val="b"/>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2">
          <a:lumMod val="7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552591242231492E-2"/>
          <c:y val="0.28997036541374788"/>
          <c:w val="0.87569938622645371"/>
          <c:h val="0.47753971086718233"/>
        </c:manualLayout>
      </c:layout>
      <c:lineChart>
        <c:grouping val="standard"/>
        <c:varyColors val="0"/>
        <c:ser>
          <c:idx val="0"/>
          <c:order val="0"/>
          <c:tx>
            <c:strRef>
              <c:f>[2]Linked_Data_C!$H$290</c:f>
              <c:strCache>
                <c:ptCount val="1"/>
                <c:pt idx="0">
                  <c:v>Actual</c:v>
                </c:pt>
              </c:strCache>
            </c:strRef>
          </c:tx>
          <c:spPr>
            <a:ln w="28575" cap="rnd">
              <a:solidFill>
                <a:srgbClr val="58595B"/>
              </a:solidFill>
              <a:round/>
            </a:ln>
            <a:effectLst/>
          </c:spPr>
          <c:marker>
            <c:symbol val="none"/>
          </c:marker>
          <c:dPt>
            <c:idx val="4"/>
            <c:marker>
              <c:symbol val="square"/>
              <c:size val="8"/>
              <c:spPr>
                <a:solidFill>
                  <a:srgbClr val="FF0000"/>
                </a:solidFill>
                <a:ln w="9525">
                  <a:noFill/>
                </a:ln>
                <a:effectLst/>
              </c:spPr>
            </c:marker>
            <c:bubble3D val="0"/>
            <c:extLst>
              <c:ext xmlns:c16="http://schemas.microsoft.com/office/drawing/2014/chart" uri="{C3380CC4-5D6E-409C-BE32-E72D297353CC}">
                <c16:uniqueId val="{00000000-C765-4E24-AFE9-9905710D75EE}"/>
              </c:ext>
            </c:extLst>
          </c:dPt>
          <c:cat>
            <c:strRef>
              <c:f>[2]Linked_Data_C!$G$291:$G$298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[2]Linked_Data_C!$H$291:$H$298</c:f>
              <c:numCache>
                <c:formatCode>General</c:formatCode>
                <c:ptCount val="8"/>
                <c:pt idx="1">
                  <c:v>0.99</c:v>
                </c:pt>
                <c:pt idx="2">
                  <c:v>0.97</c:v>
                </c:pt>
                <c:pt idx="3">
                  <c:v>0.91</c:v>
                </c:pt>
                <c:pt idx="4">
                  <c:v>0.9484999999999999</c:v>
                </c:pt>
                <c:pt idx="5">
                  <c:v>0.94140000000000001</c:v>
                </c:pt>
                <c:pt idx="6">
                  <c:v>0.92269999999999996</c:v>
                </c:pt>
                <c:pt idx="7">
                  <c:v>0.97799999999999998</c:v>
                </c:pt>
              </c:numCache>
            </c:numRef>
          </c:val>
          <c:smooth val="0"/>
          <c:extLst>
            <c:ext xmlns:c16="http://schemas.microsoft.com/office/drawing/2014/chart" uri="{C3380CC4-5D6E-409C-BE32-E72D297353CC}">
              <c16:uniqueId val="{00000001-C765-4E24-AFE9-9905710D75EE}"/>
            </c:ext>
          </c:extLst>
        </c:ser>
        <c:ser>
          <c:idx val="1"/>
          <c:order val="1"/>
          <c:tx>
            <c:strRef>
              <c:f>[2]Linked_Data_C!$I$290</c:f>
              <c:strCache>
                <c:ptCount val="1"/>
                <c:pt idx="0">
                  <c:v>Target</c:v>
                </c:pt>
              </c:strCache>
            </c:strRef>
          </c:tx>
          <c:spPr>
            <a:ln w="28575" cap="rnd">
              <a:solidFill>
                <a:srgbClr val="DD6D2B"/>
              </a:solidFill>
              <a:round/>
            </a:ln>
            <a:effectLst/>
          </c:spPr>
          <c:marker>
            <c:symbol val="none"/>
          </c:marker>
          <c:dLbls>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765-4E24-AFE9-9905710D75EE}"/>
                </c:ext>
              </c:extLst>
            </c:dLbl>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[2]Linked_Data_C!$G$291:$G$298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[2]Linked_Data_C!$I$291:$I$298</c:f>
              <c:numCache>
                <c:formatCode>General</c:formatCode>
                <c:ptCount val="8"/>
                <c:pt idx="0">
                  <c:v>0.8</c:v>
                </c:pt>
                <c:pt idx="1">
                  <c:v>0.8</c:v>
                </c:pt>
                <c:pt idx="2">
                  <c:v>0.8</c:v>
                </c:pt>
                <c:pt idx="3">
                  <c:v>0.8</c:v>
                </c:pt>
                <c:pt idx="4">
                  <c:v>0.8</c:v>
                </c:pt>
                <c:pt idx="5">
                  <c:v>0.8</c:v>
                </c:pt>
                <c:pt idx="6">
                  <c:v>0.8</c:v>
                </c:pt>
                <c:pt idx="7">
                  <c:v>0.8</c:v>
                </c:pt>
              </c:numCache>
            </c:numRef>
          </c:val>
          <c:smooth val="0"/>
          <c:extLst>
            <c:ext xmlns:c16="http://schemas.microsoft.com/office/drawing/2014/chart" uri="{C3380CC4-5D6E-409C-BE32-E72D297353CC}">
              <c16:uniqueId val="{00000003-C765-4E24-AFE9-9905710D75EE}"/>
            </c:ext>
          </c:extLst>
        </c:ser>
        <c:ser>
          <c:idx val="2"/>
          <c:order val="2"/>
          <c:tx>
            <c:strRef>
              <c:f>[2]Linked_Data_C!$J$290</c:f>
              <c:strCache>
                <c:ptCount val="1"/>
                <c:pt idx="0">
                  <c:v>&lt;Target</c:v>
                </c:pt>
              </c:strCache>
            </c:strRef>
          </c:tx>
          <c:spPr>
            <a:ln w="28575" cap="rnd">
              <a:noFill/>
              <a:round/>
            </a:ln>
            <a:effectLst/>
          </c:spPr>
          <c:marker>
            <c:symbol val="square"/>
            <c:size val="8"/>
            <c:spPr>
              <a:solidFill>
                <a:srgbClr val="FF0000"/>
              </a:solidFill>
              <a:ln w="9525">
                <a:solidFill>
                  <a:srgbClr val="FF0000"/>
                </a:solidFill>
              </a:ln>
              <a:effectLst/>
            </c:spPr>
          </c:marker>
          <c:dLbls>
            <c:dLbl>
              <c:idx val="4"/>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765-4E24-AFE9-9905710D75EE}"/>
                </c:ext>
              </c:extLst>
            </c:dLbl>
            <c:spPr>
              <a:solidFill>
                <a:srgbClr val="FF0000"/>
              </a:solidFill>
              <a:ln>
                <a:solidFill>
                  <a:srgbClr val="FF000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bg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[2]Linked_Data_C!$G$291:$G$298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[2]Linked_Data_C!$J$291:$J$298</c:f>
              <c:numCache>
                <c:formatCode>General</c:formatCode>
                <c:ptCount val="8"/>
                <c:pt idx="1">
                  <c:v>#N/A</c:v>
                </c:pt>
                <c:pt idx="2">
                  <c:v>#N/A</c:v>
                </c:pt>
                <c:pt idx="3">
                  <c:v>#N/A</c:v>
                </c:pt>
                <c:pt idx="4">
                  <c:v>#N/A</c:v>
                </c:pt>
                <c:pt idx="5">
                  <c:v>#N/A</c:v>
                </c:pt>
                <c:pt idx="6">
                  <c:v>#N/A</c:v>
                </c:pt>
                <c:pt idx="7">
                  <c:v>#N/A</c:v>
                </c:pt>
              </c:numCache>
            </c:numRef>
          </c:val>
          <c:smooth val="0"/>
          <c:extLst>
            <c:ext xmlns:c16="http://schemas.microsoft.com/office/drawing/2014/chart" uri="{C3380CC4-5D6E-409C-BE32-E72D297353CC}">
              <c16:uniqueId val="{00000005-C765-4E24-AFE9-9905710D75EE}"/>
            </c:ext>
          </c:extLst>
        </c:ser>
        <c:ser>
          <c:idx val="3"/>
          <c:order val="3"/>
          <c:tx>
            <c:strRef>
              <c:f>[2]Linked_Data_C!$K$290</c:f>
              <c:strCache>
                <c:ptCount val="1"/>
                <c:pt idx="0">
                  <c:v>&gt;Target</c:v>
                </c:pt>
              </c:strCache>
            </c:strRef>
          </c:tx>
          <c:spPr>
            <a:ln w="28575" cap="rnd">
              <a:noFill/>
              <a:round/>
            </a:ln>
            <a:effectLst/>
          </c:spPr>
          <c:marker>
            <c:symbol val="square"/>
            <c:size val="8"/>
            <c:spPr>
              <a:solidFill>
                <a:srgbClr val="00B050"/>
              </a:solidFill>
              <a:ln w="9525">
                <a:solidFill>
                  <a:srgbClr val="00B050"/>
                </a:solidFill>
              </a:ln>
              <a:effectLst/>
            </c:spPr>
          </c:marker>
          <c:dLbls>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765-4E24-AFE9-9905710D75EE}"/>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765-4E24-AFE9-9905710D75EE}"/>
                </c:ext>
              </c:extLst>
            </c:dLbl>
            <c:numFmt formatCode="0%" sourceLinked="0"/>
            <c:spPr>
              <a:solidFill>
                <a:srgbClr val="00B050"/>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[2]Linked_Data_C!$G$291:$G$298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[2]Linked_Data_C!$K$291:$K$298</c:f>
              <c:numCache>
                <c:formatCode>General</c:formatCode>
                <c:ptCount val="8"/>
                <c:pt idx="1">
                  <c:v>0.99</c:v>
                </c:pt>
                <c:pt idx="2">
                  <c:v>0.97</c:v>
                </c:pt>
                <c:pt idx="3">
                  <c:v>0.91</c:v>
                </c:pt>
                <c:pt idx="4">
                  <c:v>0.9484999999999999</c:v>
                </c:pt>
                <c:pt idx="5">
                  <c:v>0.94140000000000001</c:v>
                </c:pt>
                <c:pt idx="6">
                  <c:v>0.92269999999999996</c:v>
                </c:pt>
                <c:pt idx="7">
                  <c:v>0.97799999999999998</c:v>
                </c:pt>
              </c:numCache>
            </c:numRef>
          </c:val>
          <c:smooth val="0"/>
          <c:extLst>
            <c:ext xmlns:c16="http://schemas.microsoft.com/office/drawing/2014/chart" uri="{C3380CC4-5D6E-409C-BE32-E72D297353CC}">
              <c16:uniqueId val="{00000008-C765-4E24-AFE9-9905710D75EE}"/>
            </c:ext>
          </c:extLst>
        </c:ser>
        <c:dLbls>
          <c:showLegendKey val="0"/>
          <c:showVal val="0"/>
          <c:showCatName val="0"/>
          <c:showSerName val="0"/>
          <c:showPercent val="0"/>
          <c:showBubbleSize val="0"/>
        </c:dLbls>
        <c:smooth val="0"/>
        <c:axId val="130923520"/>
        <c:axId val="130929408"/>
      </c:lineChart>
      <c:catAx>
        <c:axId val="130923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929408"/>
        <c:crosses val="autoZero"/>
        <c:auto val="1"/>
        <c:lblAlgn val="ctr"/>
        <c:lblOffset val="100"/>
        <c:noMultiLvlLbl val="0"/>
      </c:catAx>
      <c:valAx>
        <c:axId val="130929408"/>
        <c:scaling>
          <c:orientation val="minMax"/>
          <c:max val="1"/>
          <c:min val="0.600000000000000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923520"/>
        <c:crosses val="autoZero"/>
        <c:crossBetween val="between"/>
        <c:majorUnit val="0.1"/>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368395009254162E-2"/>
          <c:y val="0.289868415662"/>
          <c:w val="0.87593651818240936"/>
          <c:h val="0.47772340100634264"/>
        </c:manualLayout>
      </c:layout>
      <c:lineChart>
        <c:grouping val="standard"/>
        <c:varyColors val="0"/>
        <c:ser>
          <c:idx val="1"/>
          <c:order val="0"/>
          <c:tx>
            <c:strRef>
              <c:f>[2]Linked_Data_C!$B$275</c:f>
              <c:strCache>
                <c:ptCount val="1"/>
                <c:pt idx="0">
                  <c:v>Actual</c:v>
                </c:pt>
              </c:strCache>
            </c:strRef>
          </c:tx>
          <c:spPr>
            <a:ln w="28575" cap="rnd">
              <a:solidFill>
                <a:srgbClr val="58595B"/>
              </a:solidFill>
              <a:round/>
            </a:ln>
            <a:effectLst/>
          </c:spPr>
          <c:marker>
            <c:symbol val="none"/>
          </c:marker>
          <c:dPt>
            <c:idx val="4"/>
            <c:marker>
              <c:symbol val="square"/>
              <c:size val="8"/>
              <c:spPr>
                <a:solidFill>
                  <a:srgbClr val="00B050"/>
                </a:solidFill>
                <a:ln w="9525">
                  <a:noFill/>
                </a:ln>
                <a:effectLst/>
              </c:spPr>
            </c:marker>
            <c:bubble3D val="0"/>
            <c:extLst>
              <c:ext xmlns:c16="http://schemas.microsoft.com/office/drawing/2014/chart" uri="{C3380CC4-5D6E-409C-BE32-E72D297353CC}">
                <c16:uniqueId val="{00000000-CB4F-4C6D-9BC1-832C5774FBCD}"/>
              </c:ext>
            </c:extLst>
          </c:dPt>
          <c:cat>
            <c:strRef>
              <c:f>[2]Linked_Data_C!$A$276:$A$283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[2]Linked_Data_C!$B$276:$B$283</c:f>
              <c:numCache>
                <c:formatCode>General</c:formatCode>
                <c:ptCount val="8"/>
                <c:pt idx="0">
                  <c:v>0.97</c:v>
                </c:pt>
                <c:pt idx="1">
                  <c:v>0.71</c:v>
                </c:pt>
                <c:pt idx="2">
                  <c:v>0.83</c:v>
                </c:pt>
                <c:pt idx="3">
                  <c:v>0.79</c:v>
                </c:pt>
                <c:pt idx="4">
                  <c:v>0.76529999999999998</c:v>
                </c:pt>
                <c:pt idx="5">
                  <c:v>0.52310000000000001</c:v>
                </c:pt>
                <c:pt idx="6">
                  <c:v>0.2717</c:v>
                </c:pt>
                <c:pt idx="7">
                  <c:v>0.17030000000000001</c:v>
                </c:pt>
              </c:numCache>
            </c:numRef>
          </c:val>
          <c:smooth val="0"/>
          <c:extLst>
            <c:ext xmlns:c16="http://schemas.microsoft.com/office/drawing/2014/chart" uri="{C3380CC4-5D6E-409C-BE32-E72D297353CC}">
              <c16:uniqueId val="{00000001-CB4F-4C6D-9BC1-832C5774FBCD}"/>
            </c:ext>
          </c:extLst>
        </c:ser>
        <c:ser>
          <c:idx val="0"/>
          <c:order val="1"/>
          <c:tx>
            <c:strRef>
              <c:f>[2]Linked_Data_C!$C$275</c:f>
              <c:strCache>
                <c:ptCount val="1"/>
                <c:pt idx="0">
                  <c:v>Target</c:v>
                </c:pt>
              </c:strCache>
            </c:strRef>
          </c:tx>
          <c:spPr>
            <a:ln w="28575" cap="rnd">
              <a:solidFill>
                <a:srgbClr val="DD6D2B"/>
              </a:solidFill>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2-CB4F-4C6D-9BC1-832C5774FBCD}"/>
                </c:ext>
              </c:extLst>
            </c:dLbl>
            <c:dLbl>
              <c:idx val="7"/>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3-CB4F-4C6D-9BC1-832C5774FBCD}"/>
                </c:ext>
              </c:extLst>
            </c:dLbl>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50" b="1" i="0" u="none" strike="noStrike" kern="1200" baseline="0">
                    <a:solidFill>
                      <a:schemeClr val="tx1"/>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[2]Linked_Data_C!$A$276:$A$283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[2]Linked_Data_C!$C$276:$C$283</c:f>
              <c:numCache>
                <c:formatCode>General</c:formatCode>
                <c:ptCount val="8"/>
                <c:pt idx="0">
                  <c:v>0.75</c:v>
                </c:pt>
                <c:pt idx="1">
                  <c:v>0.75</c:v>
                </c:pt>
                <c:pt idx="2">
                  <c:v>0.75</c:v>
                </c:pt>
                <c:pt idx="3">
                  <c:v>0.75</c:v>
                </c:pt>
                <c:pt idx="4">
                  <c:v>0.75</c:v>
                </c:pt>
                <c:pt idx="5">
                  <c:v>0.75</c:v>
                </c:pt>
                <c:pt idx="6">
                  <c:v>0.75</c:v>
                </c:pt>
                <c:pt idx="7">
                  <c:v>0.75</c:v>
                </c:pt>
              </c:numCache>
            </c:numRef>
          </c:val>
          <c:smooth val="0"/>
          <c:extLst>
            <c:ext xmlns:c16="http://schemas.microsoft.com/office/drawing/2014/chart" uri="{C3380CC4-5D6E-409C-BE32-E72D297353CC}">
              <c16:uniqueId val="{00000004-CB4F-4C6D-9BC1-832C5774FBCD}"/>
            </c:ext>
          </c:extLst>
        </c:ser>
        <c:ser>
          <c:idx val="2"/>
          <c:order val="2"/>
          <c:tx>
            <c:strRef>
              <c:f>[2]Linked_Data_C!$D$275</c:f>
              <c:strCache>
                <c:ptCount val="1"/>
                <c:pt idx="0">
                  <c:v>&lt;Target</c:v>
                </c:pt>
              </c:strCache>
            </c:strRef>
          </c:tx>
          <c:spPr>
            <a:ln w="28575" cap="rnd">
              <a:noFill/>
              <a:round/>
            </a:ln>
            <a:effectLst/>
          </c:spPr>
          <c:marker>
            <c:symbol val="square"/>
            <c:size val="8"/>
            <c:spPr>
              <a:solidFill>
                <a:srgbClr val="FF0000"/>
              </a:solidFill>
              <a:ln w="9525">
                <a:noFill/>
              </a:ln>
              <a:effectLst/>
            </c:spPr>
          </c:marker>
          <c:dPt>
            <c:idx val="1"/>
            <c:marker>
              <c:symbol val="square"/>
              <c:size val="8"/>
              <c:spPr>
                <a:solidFill>
                  <a:srgbClr val="FF0000"/>
                </a:solidFill>
                <a:ln w="9525">
                  <a:noFill/>
                </a:ln>
                <a:effectLst/>
              </c:spPr>
            </c:marker>
            <c:bubble3D val="0"/>
            <c:extLst>
              <c:ext xmlns:c16="http://schemas.microsoft.com/office/drawing/2014/chart" uri="{C3380CC4-5D6E-409C-BE32-E72D297353CC}">
                <c16:uniqueId val="{00000005-CB4F-4C6D-9BC1-832C5774FBCD}"/>
              </c:ext>
            </c:extLst>
          </c:dPt>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B4F-4C6D-9BC1-832C5774FBCD}"/>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B4F-4C6D-9BC1-832C5774FBCD}"/>
                </c:ext>
              </c:extLst>
            </c:dLbl>
            <c:dLbl>
              <c:idx val="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B4F-4C6D-9BC1-832C5774FBCD}"/>
                </c:ext>
              </c:extLst>
            </c:dLbl>
            <c:numFmt formatCode="0%" sourceLinked="0"/>
            <c:spPr>
              <a:solidFill>
                <a:srgbClr val="FF0000"/>
              </a:solidFill>
              <a:ln>
                <a:solidFill>
                  <a:srgbClr val="FF000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[2]Linked_Data_C!$A$276:$A$283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[2]Linked_Data_C!$D$276:$D$283</c:f>
              <c:numCache>
                <c:formatCode>General</c:formatCode>
                <c:ptCount val="8"/>
                <c:pt idx="0">
                  <c:v>#N/A</c:v>
                </c:pt>
                <c:pt idx="1">
                  <c:v>0.71</c:v>
                </c:pt>
                <c:pt idx="2">
                  <c:v>#N/A</c:v>
                </c:pt>
                <c:pt idx="3">
                  <c:v>#N/A</c:v>
                </c:pt>
                <c:pt idx="4">
                  <c:v>#N/A</c:v>
                </c:pt>
                <c:pt idx="5">
                  <c:v>0.52310000000000001</c:v>
                </c:pt>
                <c:pt idx="6">
                  <c:v>0.2717</c:v>
                </c:pt>
                <c:pt idx="7">
                  <c:v>0.17030000000000001</c:v>
                </c:pt>
              </c:numCache>
            </c:numRef>
          </c:val>
          <c:smooth val="0"/>
          <c:extLst>
            <c:ext xmlns:c16="http://schemas.microsoft.com/office/drawing/2014/chart" uri="{C3380CC4-5D6E-409C-BE32-E72D297353CC}">
              <c16:uniqueId val="{00000009-CB4F-4C6D-9BC1-832C5774FBCD}"/>
            </c:ext>
          </c:extLst>
        </c:ser>
        <c:ser>
          <c:idx val="3"/>
          <c:order val="3"/>
          <c:tx>
            <c:strRef>
              <c:f>[2]Linked_Data_C!$E$275</c:f>
              <c:strCache>
                <c:ptCount val="1"/>
                <c:pt idx="0">
                  <c:v>&gt;Target</c:v>
                </c:pt>
              </c:strCache>
            </c:strRef>
          </c:tx>
          <c:spPr>
            <a:ln w="28575" cap="rnd">
              <a:noFill/>
              <a:round/>
            </a:ln>
            <a:effectLst/>
          </c:spPr>
          <c:marker>
            <c:symbol val="square"/>
            <c:size val="8"/>
            <c:spPr>
              <a:solidFill>
                <a:srgbClr val="00B050"/>
              </a:solidFill>
              <a:ln w="9525">
                <a:solidFill>
                  <a:srgbClr val="00B050"/>
                </a:solidFill>
              </a:ln>
              <a:effectLst/>
            </c:spPr>
          </c:marker>
          <c:dLbls>
            <c:numFmt formatCode="0%" sourceLinked="0"/>
            <c:spPr>
              <a:solidFill>
                <a:srgbClr val="00B050"/>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[2]Linked_Data_C!$A$276:$A$283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[2]Linked_Data_C!$E$276:$E$283</c:f>
              <c:numCache>
                <c:formatCode>General</c:formatCode>
                <c:ptCount val="8"/>
                <c:pt idx="0">
                  <c:v>0.97</c:v>
                </c:pt>
                <c:pt idx="1">
                  <c:v>#N/A</c:v>
                </c:pt>
                <c:pt idx="2">
                  <c:v>0.83</c:v>
                </c:pt>
                <c:pt idx="3">
                  <c:v>0.79</c:v>
                </c:pt>
                <c:pt idx="4">
                  <c:v>0.76529999999999998</c:v>
                </c:pt>
                <c:pt idx="5">
                  <c:v>#N/A</c:v>
                </c:pt>
                <c:pt idx="6">
                  <c:v>#N/A</c:v>
                </c:pt>
                <c:pt idx="7">
                  <c:v>#N/A</c:v>
                </c:pt>
              </c:numCache>
            </c:numRef>
          </c:val>
          <c:smooth val="0"/>
          <c:extLst>
            <c:ext xmlns:c16="http://schemas.microsoft.com/office/drawing/2014/chart" uri="{C3380CC4-5D6E-409C-BE32-E72D297353CC}">
              <c16:uniqueId val="{0000000A-CB4F-4C6D-9BC1-832C5774FBCD}"/>
            </c:ext>
          </c:extLst>
        </c:ser>
        <c:dLbls>
          <c:showLegendKey val="0"/>
          <c:showVal val="0"/>
          <c:showCatName val="0"/>
          <c:showSerName val="0"/>
          <c:showPercent val="0"/>
          <c:showBubbleSize val="0"/>
        </c:dLbls>
        <c:smooth val="0"/>
        <c:axId val="130455040"/>
        <c:axId val="130456576"/>
      </c:lineChart>
      <c:catAx>
        <c:axId val="13045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456576"/>
        <c:crosses val="autoZero"/>
        <c:auto val="1"/>
        <c:lblAlgn val="ctr"/>
        <c:lblOffset val="100"/>
        <c:noMultiLvlLbl val="0"/>
      </c:catAx>
      <c:valAx>
        <c:axId val="130456576"/>
        <c:scaling>
          <c:orientation val="minMax"/>
          <c:max val="1"/>
          <c:min val="0.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455040"/>
        <c:crosses val="autoZero"/>
        <c:crossBetween val="between"/>
        <c:majorUnit val="0.1"/>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39151643394499"/>
          <c:y val="0.24911036755677779"/>
          <c:w val="0.87566688660290304"/>
          <c:h val="0.47722398370119351"/>
        </c:manualLayout>
      </c:layout>
      <c:lineChart>
        <c:grouping val="standard"/>
        <c:varyColors val="0"/>
        <c:ser>
          <c:idx val="0"/>
          <c:order val="0"/>
          <c:tx>
            <c:strRef>
              <c:f>[2]Linked_Data_C!$B$290</c:f>
              <c:strCache>
                <c:ptCount val="1"/>
                <c:pt idx="0">
                  <c:v>Actual</c:v>
                </c:pt>
              </c:strCache>
            </c:strRef>
          </c:tx>
          <c:spPr>
            <a:ln w="28575" cap="rnd">
              <a:solidFill>
                <a:srgbClr val="58595B"/>
              </a:solidFill>
              <a:round/>
            </a:ln>
            <a:effectLst/>
          </c:spPr>
          <c:marker>
            <c:symbol val="none"/>
          </c:marker>
          <c:dPt>
            <c:idx val="4"/>
            <c:marker>
              <c:symbol val="square"/>
              <c:size val="8"/>
              <c:spPr>
                <a:solidFill>
                  <a:srgbClr val="00B050"/>
                </a:solidFill>
                <a:ln w="9525">
                  <a:noFill/>
                </a:ln>
                <a:effectLst/>
              </c:spPr>
            </c:marker>
            <c:bubble3D val="0"/>
            <c:extLst>
              <c:ext xmlns:c16="http://schemas.microsoft.com/office/drawing/2014/chart" uri="{C3380CC4-5D6E-409C-BE32-E72D297353CC}">
                <c16:uniqueId val="{00000000-0876-44B0-B7A0-FD3D2510EAD3}"/>
              </c:ext>
            </c:extLst>
          </c:dPt>
          <c:cat>
            <c:strRef>
              <c:f>[2]Linked_Data_C!$A$291:$A$298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[2]Linked_Data_C!$B$291:$B$298</c:f>
              <c:numCache>
                <c:formatCode>General</c:formatCode>
                <c:ptCount val="8"/>
                <c:pt idx="0">
                  <c:v>0.85</c:v>
                </c:pt>
                <c:pt idx="1">
                  <c:v>0.86</c:v>
                </c:pt>
                <c:pt idx="2">
                  <c:v>0.94</c:v>
                </c:pt>
                <c:pt idx="3">
                  <c:v>0.9839</c:v>
                </c:pt>
                <c:pt idx="4">
                  <c:v>0.98719999999999997</c:v>
                </c:pt>
                <c:pt idx="5">
                  <c:v>0.98870000000000002</c:v>
                </c:pt>
                <c:pt idx="6">
                  <c:v>0.99080000000000001</c:v>
                </c:pt>
                <c:pt idx="7">
                  <c:v>0.99150000000000005</c:v>
                </c:pt>
              </c:numCache>
            </c:numRef>
          </c:val>
          <c:smooth val="0"/>
          <c:extLst>
            <c:ext xmlns:c16="http://schemas.microsoft.com/office/drawing/2014/chart" uri="{C3380CC4-5D6E-409C-BE32-E72D297353CC}">
              <c16:uniqueId val="{00000001-0876-44B0-B7A0-FD3D2510EAD3}"/>
            </c:ext>
          </c:extLst>
        </c:ser>
        <c:ser>
          <c:idx val="1"/>
          <c:order val="1"/>
          <c:tx>
            <c:strRef>
              <c:f>[2]Linked_Data_C!$C$290</c:f>
              <c:strCache>
                <c:ptCount val="1"/>
                <c:pt idx="0">
                  <c:v>Target</c:v>
                </c:pt>
              </c:strCache>
            </c:strRef>
          </c:tx>
          <c:spPr>
            <a:ln w="28575" cap="rnd">
              <a:solidFill>
                <a:srgbClr val="DD6D2B"/>
              </a:solidFill>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2-0876-44B0-B7A0-FD3D2510EAD3}"/>
                </c:ext>
              </c:extLst>
            </c:dLbl>
            <c:dLbl>
              <c:idx val="7"/>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3-0876-44B0-B7A0-FD3D2510EAD3}"/>
                </c:ext>
              </c:extLst>
            </c:dLbl>
            <c:numFmt formatCode="0%" sourceLinked="0"/>
            <c:spPr>
              <a:solidFill>
                <a:srgbClr val="DD6D2B"/>
              </a:solidFill>
              <a:ln>
                <a:solidFill>
                  <a:srgbClr val="DD6D2B"/>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[2]Linked_Data_C!$A$291:$A$298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[2]Linked_Data_C!$C$291:$C$298</c:f>
              <c:numCache>
                <c:formatCode>General</c:formatCode>
                <c:ptCount val="8"/>
                <c:pt idx="0">
                  <c:v>0.95</c:v>
                </c:pt>
                <c:pt idx="1">
                  <c:v>0.95</c:v>
                </c:pt>
                <c:pt idx="2">
                  <c:v>0.95</c:v>
                </c:pt>
                <c:pt idx="3">
                  <c:v>0.95</c:v>
                </c:pt>
                <c:pt idx="4">
                  <c:v>0.95</c:v>
                </c:pt>
                <c:pt idx="5">
                  <c:v>0.95</c:v>
                </c:pt>
                <c:pt idx="6">
                  <c:v>0.95</c:v>
                </c:pt>
                <c:pt idx="7">
                  <c:v>0.95</c:v>
                </c:pt>
              </c:numCache>
            </c:numRef>
          </c:val>
          <c:smooth val="0"/>
          <c:extLst>
            <c:ext xmlns:c16="http://schemas.microsoft.com/office/drawing/2014/chart" uri="{C3380CC4-5D6E-409C-BE32-E72D297353CC}">
              <c16:uniqueId val="{00000004-0876-44B0-B7A0-FD3D2510EAD3}"/>
            </c:ext>
          </c:extLst>
        </c:ser>
        <c:ser>
          <c:idx val="2"/>
          <c:order val="2"/>
          <c:tx>
            <c:strRef>
              <c:f>[2]Linked_Data_C!$D$290</c:f>
              <c:strCache>
                <c:ptCount val="1"/>
                <c:pt idx="0">
                  <c:v>&lt;Target</c:v>
                </c:pt>
              </c:strCache>
            </c:strRef>
          </c:tx>
          <c:spPr>
            <a:ln w="28575" cap="rnd">
              <a:noFill/>
              <a:round/>
            </a:ln>
            <a:effectLst/>
          </c:spPr>
          <c:marker>
            <c:symbol val="square"/>
            <c:size val="8"/>
            <c:spPr>
              <a:solidFill>
                <a:srgbClr val="FF0000"/>
              </a:solidFill>
              <a:ln w="9525">
                <a:solidFill>
                  <a:srgbClr val="FF0000"/>
                </a:solidFill>
              </a:ln>
              <a:effectLst/>
            </c:spPr>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876-44B0-B7A0-FD3D2510EAD3}"/>
                </c:ext>
              </c:extLst>
            </c:dLbl>
            <c:dLbl>
              <c:idx val="1"/>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876-44B0-B7A0-FD3D2510EAD3}"/>
                </c:ext>
              </c:extLst>
            </c:dLbl>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876-44B0-B7A0-FD3D2510EAD3}"/>
                </c:ext>
              </c:extLst>
            </c:dLbl>
            <c:numFmt formatCode="0%" sourceLinked="0"/>
            <c:spPr>
              <a:solidFill>
                <a:srgbClr val="FF0000"/>
              </a:solidFill>
              <a:ln>
                <a:solidFill>
                  <a:srgbClr val="FF000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[2]Linked_Data_C!$A$291:$A$298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[2]Linked_Data_C!$D$291:$D$298</c:f>
              <c:numCache>
                <c:formatCode>General</c:formatCode>
                <c:ptCount val="8"/>
                <c:pt idx="0">
                  <c:v>0.85</c:v>
                </c:pt>
                <c:pt idx="1">
                  <c:v>0.86</c:v>
                </c:pt>
                <c:pt idx="2">
                  <c:v>0.94</c:v>
                </c:pt>
                <c:pt idx="3">
                  <c:v>#N/A</c:v>
                </c:pt>
                <c:pt idx="4">
                  <c:v>#N/A</c:v>
                </c:pt>
                <c:pt idx="5">
                  <c:v>#N/A</c:v>
                </c:pt>
                <c:pt idx="6">
                  <c:v>#N/A</c:v>
                </c:pt>
                <c:pt idx="7">
                  <c:v>#N/A</c:v>
                </c:pt>
              </c:numCache>
            </c:numRef>
          </c:val>
          <c:smooth val="0"/>
          <c:extLst>
            <c:ext xmlns:c16="http://schemas.microsoft.com/office/drawing/2014/chart" uri="{C3380CC4-5D6E-409C-BE32-E72D297353CC}">
              <c16:uniqueId val="{00000008-0876-44B0-B7A0-FD3D2510EAD3}"/>
            </c:ext>
          </c:extLst>
        </c:ser>
        <c:ser>
          <c:idx val="3"/>
          <c:order val="3"/>
          <c:tx>
            <c:strRef>
              <c:f>[2]Linked_Data_C!$E$290</c:f>
              <c:strCache>
                <c:ptCount val="1"/>
                <c:pt idx="0">
                  <c:v>&gt;Target</c:v>
                </c:pt>
              </c:strCache>
            </c:strRef>
          </c:tx>
          <c:spPr>
            <a:ln w="28575" cap="rnd">
              <a:noFill/>
              <a:round/>
            </a:ln>
            <a:effectLst/>
          </c:spPr>
          <c:marker>
            <c:symbol val="square"/>
            <c:size val="8"/>
            <c:spPr>
              <a:solidFill>
                <a:srgbClr val="00B050"/>
              </a:solidFill>
              <a:ln w="9525">
                <a:solidFill>
                  <a:srgbClr val="00B050"/>
                </a:solidFill>
              </a:ln>
              <a:effectLst/>
            </c:spPr>
          </c:marker>
          <c:dLbls>
            <c:dLbl>
              <c:idx val="3"/>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876-44B0-B7A0-FD3D2510EAD3}"/>
                </c:ext>
              </c:extLst>
            </c:dLbl>
            <c:dLbl>
              <c:idx val="4"/>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0876-44B0-B7A0-FD3D2510EAD3}"/>
                </c:ext>
              </c:extLst>
            </c:dLbl>
            <c:numFmt formatCode="0%" sourceLinked="0"/>
            <c:spPr>
              <a:solidFill>
                <a:srgbClr val="00B050"/>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[2]Linked_Data_C!$A$291:$A$298</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[2]Linked_Data_C!$E$291:$E$298</c:f>
              <c:numCache>
                <c:formatCode>General</c:formatCode>
                <c:ptCount val="8"/>
                <c:pt idx="0">
                  <c:v>#N/A</c:v>
                </c:pt>
                <c:pt idx="1">
                  <c:v>#N/A</c:v>
                </c:pt>
                <c:pt idx="2">
                  <c:v>#N/A</c:v>
                </c:pt>
                <c:pt idx="3">
                  <c:v>0.9839</c:v>
                </c:pt>
                <c:pt idx="4">
                  <c:v>0.98719999999999997</c:v>
                </c:pt>
                <c:pt idx="5">
                  <c:v>0.98870000000000002</c:v>
                </c:pt>
                <c:pt idx="6">
                  <c:v>0.99080000000000001</c:v>
                </c:pt>
                <c:pt idx="7">
                  <c:v>0.99150000000000005</c:v>
                </c:pt>
              </c:numCache>
            </c:numRef>
          </c:val>
          <c:smooth val="0"/>
          <c:extLst>
            <c:ext xmlns:c16="http://schemas.microsoft.com/office/drawing/2014/chart" uri="{C3380CC4-5D6E-409C-BE32-E72D297353CC}">
              <c16:uniqueId val="{0000000B-0876-44B0-B7A0-FD3D2510EAD3}"/>
            </c:ext>
          </c:extLst>
        </c:ser>
        <c:dLbls>
          <c:showLegendKey val="0"/>
          <c:showVal val="0"/>
          <c:showCatName val="0"/>
          <c:showSerName val="0"/>
          <c:showPercent val="0"/>
          <c:showBubbleSize val="0"/>
        </c:dLbls>
        <c:smooth val="0"/>
        <c:axId val="130856832"/>
        <c:axId val="130858368"/>
      </c:lineChart>
      <c:catAx>
        <c:axId val="13085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858368"/>
        <c:crosses val="autoZero"/>
        <c:auto val="1"/>
        <c:lblAlgn val="ctr"/>
        <c:lblOffset val="100"/>
        <c:noMultiLvlLbl val="0"/>
      </c:catAx>
      <c:valAx>
        <c:axId val="130858368"/>
        <c:scaling>
          <c:orientation val="minMax"/>
          <c:max val="1"/>
          <c:min val="0.8"/>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0856832"/>
        <c:crosses val="autoZero"/>
        <c:crossBetween val="between"/>
        <c:majorUnit val="5.000000000000001E-2"/>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335622438035229E-2"/>
          <c:y val="0.26665462945277435"/>
          <c:w val="0.87597870918593435"/>
          <c:h val="0.50055622373698783"/>
        </c:manualLayout>
      </c:layout>
      <c:lineChart>
        <c:grouping val="standard"/>
        <c:varyColors val="0"/>
        <c:ser>
          <c:idx val="0"/>
          <c:order val="0"/>
          <c:tx>
            <c:strRef>
              <c:f>[2]Linked_Data_C!$H$275</c:f>
              <c:strCache>
                <c:ptCount val="1"/>
                <c:pt idx="0">
                  <c:v>Actual</c:v>
                </c:pt>
              </c:strCache>
            </c:strRef>
          </c:tx>
          <c:spPr>
            <a:ln w="28575" cap="rnd">
              <a:solidFill>
                <a:srgbClr val="58595B"/>
              </a:solidFill>
              <a:round/>
            </a:ln>
            <a:effectLst/>
          </c:spPr>
          <c:marker>
            <c:symbol val="none"/>
          </c:marker>
          <c:dPt>
            <c:idx val="4"/>
            <c:marker>
              <c:symbol val="square"/>
              <c:size val="8"/>
              <c:spPr>
                <a:solidFill>
                  <a:srgbClr val="00B050"/>
                </a:solidFill>
                <a:ln w="9525">
                  <a:noFill/>
                </a:ln>
                <a:effectLst/>
              </c:spPr>
            </c:marker>
            <c:bubble3D val="0"/>
            <c:spPr>
              <a:ln w="28575" cap="rnd">
                <a:solidFill>
                  <a:srgbClr val="58595B">
                    <a:alpha val="97000"/>
                  </a:srgbClr>
                </a:solidFill>
                <a:round/>
              </a:ln>
              <a:effectLst/>
            </c:spPr>
            <c:extLst>
              <c:ext xmlns:c16="http://schemas.microsoft.com/office/drawing/2014/chart" uri="{C3380CC4-5D6E-409C-BE32-E72D297353CC}">
                <c16:uniqueId val="{00000001-DD63-4CCD-8F09-24D4CBC09B07}"/>
              </c:ext>
            </c:extLst>
          </c:dPt>
          <c:cat>
            <c:strRef>
              <c:f>[2]Linked_Data_C!$G$276:$G$283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[2]Linked_Data_C!$H$276:$H$283</c:f>
              <c:numCache>
                <c:formatCode>General</c:formatCode>
                <c:ptCount val="8"/>
                <c:pt idx="1">
                  <c:v>0.99</c:v>
                </c:pt>
                <c:pt idx="2">
                  <c:v>0.99</c:v>
                </c:pt>
                <c:pt idx="3">
                  <c:v>0.99</c:v>
                </c:pt>
                <c:pt idx="4">
                  <c:v>0.99250000000000005</c:v>
                </c:pt>
                <c:pt idx="5">
                  <c:v>0.997</c:v>
                </c:pt>
                <c:pt idx="6">
                  <c:v>0.99399999999999999</c:v>
                </c:pt>
                <c:pt idx="7">
                  <c:v>0.98909999999999998</c:v>
                </c:pt>
              </c:numCache>
            </c:numRef>
          </c:val>
          <c:smooth val="0"/>
          <c:extLst>
            <c:ext xmlns:c16="http://schemas.microsoft.com/office/drawing/2014/chart" uri="{C3380CC4-5D6E-409C-BE32-E72D297353CC}">
              <c16:uniqueId val="{00000002-DD63-4CCD-8F09-24D4CBC09B07}"/>
            </c:ext>
          </c:extLst>
        </c:ser>
        <c:ser>
          <c:idx val="1"/>
          <c:order val="1"/>
          <c:tx>
            <c:strRef>
              <c:f>[2]Linked_Data_C!$I$275</c:f>
              <c:strCache>
                <c:ptCount val="1"/>
                <c:pt idx="0">
                  <c:v>Target</c:v>
                </c:pt>
              </c:strCache>
            </c:strRef>
          </c:tx>
          <c:spPr>
            <a:ln w="28575" cap="rnd">
              <a:solidFill>
                <a:srgbClr val="DD6D2B"/>
              </a:solidFill>
              <a:round/>
            </a:ln>
            <a:effectLst/>
          </c:spPr>
          <c:marker>
            <c:symbol val="none"/>
          </c:marker>
          <c:dLbls>
            <c:dLbl>
              <c:idx val="4"/>
              <c:delete val="1"/>
              <c:extLst>
                <c:ext xmlns:c15="http://schemas.microsoft.com/office/drawing/2012/chart" uri="{CE6537A1-D6FC-4f65-9D91-7224C49458BB}"/>
                <c:ext xmlns:c16="http://schemas.microsoft.com/office/drawing/2014/chart" uri="{C3380CC4-5D6E-409C-BE32-E72D297353CC}">
                  <c16:uniqueId val="{00000003-DD63-4CCD-8F09-24D4CBC09B07}"/>
                </c:ext>
              </c:extLst>
            </c:dLbl>
            <c:dLbl>
              <c:idx val="7"/>
              <c:numFmt formatCode="0%" sourceLinked="0"/>
              <c:spPr>
                <a:solidFill>
                  <a:srgbClr val="DD6D2B"/>
                </a:solidFill>
                <a:ln>
                  <a:no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ext>
                <c:ext xmlns:c16="http://schemas.microsoft.com/office/drawing/2014/chart" uri="{C3380CC4-5D6E-409C-BE32-E72D297353CC}">
                  <c16:uniqueId val="{00000004-DD63-4CCD-8F09-24D4CBC09B07}"/>
                </c:ext>
              </c:extLst>
            </c:dLbl>
            <c:numFmt formatCode="0%" sourceLinked="0"/>
            <c:spPr>
              <a:solidFill>
                <a:srgbClr val="DD6D2B"/>
              </a:solidFill>
              <a:ln>
                <a:solidFill>
                  <a:srgbClr val="DD6D2B"/>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[2]Linked_Data_C!$G$276:$G$283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[2]Linked_Data_C!$I$276:$I$283</c:f>
              <c:numCache>
                <c:formatCode>General</c:formatCode>
                <c:ptCount val="8"/>
                <c:pt idx="0">
                  <c:v>0.95</c:v>
                </c:pt>
                <c:pt idx="1">
                  <c:v>0.95</c:v>
                </c:pt>
                <c:pt idx="2">
                  <c:v>0.95</c:v>
                </c:pt>
                <c:pt idx="3">
                  <c:v>0.95</c:v>
                </c:pt>
                <c:pt idx="4">
                  <c:v>0.95</c:v>
                </c:pt>
                <c:pt idx="5">
                  <c:v>0.95</c:v>
                </c:pt>
                <c:pt idx="6">
                  <c:v>0.95</c:v>
                </c:pt>
                <c:pt idx="7">
                  <c:v>0.95</c:v>
                </c:pt>
              </c:numCache>
            </c:numRef>
          </c:val>
          <c:smooth val="0"/>
          <c:extLst>
            <c:ext xmlns:c16="http://schemas.microsoft.com/office/drawing/2014/chart" uri="{C3380CC4-5D6E-409C-BE32-E72D297353CC}">
              <c16:uniqueId val="{00000005-DD63-4CCD-8F09-24D4CBC09B07}"/>
            </c:ext>
          </c:extLst>
        </c:ser>
        <c:ser>
          <c:idx val="2"/>
          <c:order val="2"/>
          <c:tx>
            <c:strRef>
              <c:f>[2]Linked_Data_C!$J$275</c:f>
              <c:strCache>
                <c:ptCount val="1"/>
                <c:pt idx="0">
                  <c:v>&lt;Target</c:v>
                </c:pt>
              </c:strCache>
            </c:strRef>
          </c:tx>
          <c:spPr>
            <a:ln w="28575" cap="rnd">
              <a:solidFill>
                <a:srgbClr val="FF0000"/>
              </a:solidFill>
              <a:round/>
            </a:ln>
            <a:effectLst/>
          </c:spPr>
          <c:marker>
            <c:symbol val="square"/>
            <c:size val="8"/>
            <c:spPr>
              <a:solidFill>
                <a:srgbClr val="FF0000"/>
              </a:solidFill>
              <a:ln w="9525">
                <a:solidFill>
                  <a:srgbClr val="FF0000"/>
                </a:solidFill>
              </a:ln>
              <a:effectLst/>
            </c:spPr>
          </c:marker>
          <c:dLbls>
            <c:spPr>
              <a:solidFill>
                <a:srgbClr val="FF0000"/>
              </a:solidFill>
              <a:ln>
                <a:solidFill>
                  <a:srgbClr val="FF000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bg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[2]Linked_Data_C!$G$276:$G$283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[2]Linked_Data_C!$J$276:$J$283</c:f>
              <c:numCache>
                <c:formatCode>General</c:formatCode>
                <c:ptCount val="8"/>
                <c:pt idx="1">
                  <c:v>#N/A</c:v>
                </c:pt>
                <c:pt idx="2">
                  <c:v>#N/A</c:v>
                </c:pt>
                <c:pt idx="3">
                  <c:v>#N/A</c:v>
                </c:pt>
                <c:pt idx="4">
                  <c:v>#N/A</c:v>
                </c:pt>
                <c:pt idx="5">
                  <c:v>#N/A</c:v>
                </c:pt>
                <c:pt idx="6">
                  <c:v>#N/A</c:v>
                </c:pt>
                <c:pt idx="7">
                  <c:v>#N/A</c:v>
                </c:pt>
              </c:numCache>
            </c:numRef>
          </c:val>
          <c:smooth val="0"/>
          <c:extLst>
            <c:ext xmlns:c16="http://schemas.microsoft.com/office/drawing/2014/chart" uri="{C3380CC4-5D6E-409C-BE32-E72D297353CC}">
              <c16:uniqueId val="{00000006-DD63-4CCD-8F09-24D4CBC09B07}"/>
            </c:ext>
          </c:extLst>
        </c:ser>
        <c:ser>
          <c:idx val="3"/>
          <c:order val="3"/>
          <c:tx>
            <c:strRef>
              <c:f>[2]Linked_Data_C!$K$275</c:f>
              <c:strCache>
                <c:ptCount val="1"/>
                <c:pt idx="0">
                  <c:v>&gt;Target</c:v>
                </c:pt>
              </c:strCache>
            </c:strRef>
          </c:tx>
          <c:spPr>
            <a:ln w="28575" cap="rnd">
              <a:noFill/>
              <a:round/>
            </a:ln>
            <a:effectLst/>
          </c:spPr>
          <c:marker>
            <c:symbol val="square"/>
            <c:size val="8"/>
            <c:spPr>
              <a:solidFill>
                <a:srgbClr val="00B050"/>
              </a:solidFill>
              <a:ln w="9525">
                <a:solidFill>
                  <a:srgbClr val="00B050"/>
                </a:solidFill>
              </a:ln>
              <a:effectLst/>
            </c:spPr>
          </c:marker>
          <c:dLbls>
            <c:dLbl>
              <c:idx val="5"/>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D63-4CCD-8F09-24D4CBC09B07}"/>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D63-4CCD-8F09-24D4CBC09B07}"/>
                </c:ext>
              </c:extLst>
            </c:dLbl>
            <c:dLbl>
              <c:idx val="7"/>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D63-4CCD-8F09-24D4CBC09B07}"/>
                </c:ext>
              </c:extLst>
            </c:dLbl>
            <c:numFmt formatCode="0%" sourceLinked="0"/>
            <c:spPr>
              <a:solidFill>
                <a:srgbClr val="00B050"/>
              </a:solidFill>
              <a:ln>
                <a:solidFill>
                  <a:srgbClr val="00B050"/>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tx1"/>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[2]Linked_Data_C!$G$276:$G$283</c:f>
              <c:strCache>
                <c:ptCount val="8"/>
                <c:pt idx="0">
                  <c:v>FY 18-19</c:v>
                </c:pt>
                <c:pt idx="1">
                  <c:v>FY 19-20</c:v>
                </c:pt>
                <c:pt idx="2">
                  <c:v>FY 20-21</c:v>
                </c:pt>
                <c:pt idx="3">
                  <c:v>FY 21-22</c:v>
                </c:pt>
                <c:pt idx="4">
                  <c:v>FY 22-23</c:v>
                </c:pt>
                <c:pt idx="5">
                  <c:v>FY 23-24  </c:v>
                </c:pt>
                <c:pt idx="6">
                  <c:v>FY 24-25</c:v>
                </c:pt>
                <c:pt idx="7">
                  <c:v>FY 25-26               (to date)</c:v>
                </c:pt>
              </c:strCache>
            </c:strRef>
          </c:cat>
          <c:val>
            <c:numRef>
              <c:f>[2]Linked_Data_C!$K$276:$K$283</c:f>
              <c:numCache>
                <c:formatCode>General</c:formatCode>
                <c:ptCount val="8"/>
                <c:pt idx="1">
                  <c:v>0.99</c:v>
                </c:pt>
                <c:pt idx="2">
                  <c:v>0.99</c:v>
                </c:pt>
                <c:pt idx="3">
                  <c:v>0.99</c:v>
                </c:pt>
                <c:pt idx="4">
                  <c:v>0.99250000000000005</c:v>
                </c:pt>
                <c:pt idx="5">
                  <c:v>0.997</c:v>
                </c:pt>
                <c:pt idx="6">
                  <c:v>0.99399999999999999</c:v>
                </c:pt>
                <c:pt idx="7">
                  <c:v>0.98909999999999998</c:v>
                </c:pt>
              </c:numCache>
            </c:numRef>
          </c:val>
          <c:smooth val="0"/>
          <c:extLst>
            <c:ext xmlns:c16="http://schemas.microsoft.com/office/drawing/2014/chart" uri="{C3380CC4-5D6E-409C-BE32-E72D297353CC}">
              <c16:uniqueId val="{0000000A-DD63-4CCD-8F09-24D4CBC09B07}"/>
            </c:ext>
          </c:extLst>
        </c:ser>
        <c:dLbls>
          <c:showLegendKey val="0"/>
          <c:showVal val="0"/>
          <c:showCatName val="0"/>
          <c:showSerName val="0"/>
          <c:showPercent val="0"/>
          <c:showBubbleSize val="0"/>
        </c:dLbls>
        <c:smooth val="0"/>
        <c:axId val="131021440"/>
        <c:axId val="131039616"/>
      </c:lineChart>
      <c:catAx>
        <c:axId val="131021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1039616"/>
        <c:crosses val="autoZero"/>
        <c:auto val="1"/>
        <c:lblAlgn val="ctr"/>
        <c:lblOffset val="100"/>
        <c:noMultiLvlLbl val="0"/>
      </c:catAx>
      <c:valAx>
        <c:axId val="131039616"/>
        <c:scaling>
          <c:orientation val="minMax"/>
          <c:max val="1"/>
          <c:min val="0.9"/>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crossAx val="131021440"/>
        <c:crosses val="autoZero"/>
        <c:crossBetween val="between"/>
        <c:majorUnit val="2.0000000000000004E-2"/>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rgbClr val="538E55"/>
                </a:solidFill>
                <a:latin typeface="+mn-lt"/>
                <a:ea typeface="+mn-ea"/>
                <a:cs typeface="+mn-cs"/>
              </a:defRPr>
            </a:pPr>
            <a:r>
              <a:rPr lang="en-AU" sz="1200" b="1" baseline="0">
                <a:solidFill>
                  <a:srgbClr val="538E55"/>
                </a:solidFill>
              </a:rPr>
              <a:t>Gender</a:t>
            </a:r>
          </a:p>
        </c:rich>
      </c:tx>
      <c:layout>
        <c:manualLayout>
          <c:xMode val="edge"/>
          <c:yMode val="edge"/>
          <c:x val="0.37364512300794939"/>
          <c:y val="3.5101834978051319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rgbClr val="538E55"/>
              </a:solidFill>
              <a:latin typeface="+mn-lt"/>
              <a:ea typeface="+mn-ea"/>
              <a:cs typeface="+mn-cs"/>
            </a:defRPr>
          </a:pPr>
          <a:endParaRPr lang="en-US"/>
        </a:p>
      </c:txPr>
    </c:title>
    <c:autoTitleDeleted val="0"/>
    <c:plotArea>
      <c:layout>
        <c:manualLayout>
          <c:layoutTarget val="inner"/>
          <c:xMode val="edge"/>
          <c:yMode val="edge"/>
          <c:x val="0.1726858305391252"/>
          <c:y val="0.17656592052630976"/>
          <c:w val="0.64266708736766753"/>
          <c:h val="0.62564155463099869"/>
        </c:manualLayout>
      </c:layout>
      <c:doughnutChart>
        <c:varyColors val="1"/>
        <c:ser>
          <c:idx val="0"/>
          <c:order val="0"/>
          <c:spPr>
            <a:solidFill>
              <a:srgbClr val="90AF3E"/>
            </a:solidFill>
          </c:spPr>
          <c:dPt>
            <c:idx val="0"/>
            <c:bubble3D val="0"/>
            <c:spPr>
              <a:solidFill>
                <a:srgbClr val="90AF3E"/>
              </a:solidFill>
              <a:ln w="19050">
                <a:solidFill>
                  <a:schemeClr val="lt1"/>
                </a:solidFill>
              </a:ln>
              <a:effectLst/>
            </c:spPr>
            <c:extLst>
              <c:ext xmlns:c16="http://schemas.microsoft.com/office/drawing/2014/chart" uri="{C3380CC4-5D6E-409C-BE32-E72D297353CC}">
                <c16:uniqueId val="{00000001-E23C-4F22-96CF-54B14DA716AD}"/>
              </c:ext>
            </c:extLst>
          </c:dPt>
          <c:dPt>
            <c:idx val="1"/>
            <c:bubble3D val="0"/>
            <c:spPr>
              <a:solidFill>
                <a:srgbClr val="DD6D2B"/>
              </a:solidFill>
              <a:ln w="19050">
                <a:solidFill>
                  <a:schemeClr val="lt1"/>
                </a:solidFill>
              </a:ln>
              <a:effectLst/>
            </c:spPr>
            <c:extLst>
              <c:ext xmlns:c16="http://schemas.microsoft.com/office/drawing/2014/chart" uri="{C3380CC4-5D6E-409C-BE32-E72D297353CC}">
                <c16:uniqueId val="{00000003-E23C-4F22-96CF-54B14DA716AD}"/>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[2]Linked_Data_C!$A$301:$A$302</c:f>
              <c:strCache>
                <c:ptCount val="2"/>
                <c:pt idx="0">
                  <c:v>Male</c:v>
                </c:pt>
                <c:pt idx="1">
                  <c:v>Female </c:v>
                </c:pt>
              </c:strCache>
            </c:strRef>
          </c:cat>
          <c:val>
            <c:numRef>
              <c:f>[2]Linked_Data_C!$B$301:$B$302</c:f>
              <c:numCache>
                <c:formatCode>General</c:formatCode>
                <c:ptCount val="2"/>
                <c:pt idx="0">
                  <c:v>44623</c:v>
                </c:pt>
                <c:pt idx="1">
                  <c:v>27106</c:v>
                </c:pt>
              </c:numCache>
            </c:numRef>
          </c:val>
          <c:extLst>
            <c:ext xmlns:c16="http://schemas.microsoft.com/office/drawing/2014/chart" uri="{C3380CC4-5D6E-409C-BE32-E72D297353CC}">
              <c16:uniqueId val="{00000004-E23C-4F22-96CF-54B14DA716AD}"/>
            </c:ext>
          </c:extLst>
        </c:ser>
        <c:dLbls>
          <c:showLegendKey val="0"/>
          <c:showVal val="1"/>
          <c:showCatName val="0"/>
          <c:showSerName val="0"/>
          <c:showPercent val="0"/>
          <c:showBubbleSize val="0"/>
          <c:showLeaderLines val="1"/>
        </c:dLbls>
        <c:firstSliceAng val="136"/>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1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rgbClr val="538E55"/>
                </a:solidFill>
                <a:latin typeface="+mn-lt"/>
                <a:ea typeface="+mn-ea"/>
                <a:cs typeface="+mn-cs"/>
              </a:defRPr>
            </a:pPr>
            <a:r>
              <a:rPr lang="en-AU" sz="1200" b="1">
                <a:solidFill>
                  <a:srgbClr val="538E55"/>
                </a:solidFill>
              </a:rPr>
              <a:t>Disability</a:t>
            </a:r>
            <a:r>
              <a:rPr lang="en-AU" b="1" baseline="0">
                <a:solidFill>
                  <a:srgbClr val="538E55"/>
                </a:solidFill>
              </a:rPr>
              <a:t> </a:t>
            </a:r>
            <a:r>
              <a:rPr lang="en-AU" sz="1200" b="1" baseline="0">
                <a:solidFill>
                  <a:srgbClr val="538E55"/>
                </a:solidFill>
              </a:rPr>
              <a:t>Status</a:t>
            </a:r>
            <a:endParaRPr lang="en-AU" sz="1200" b="1">
              <a:solidFill>
                <a:srgbClr val="538E55"/>
              </a:solidFill>
            </a:endParaRPr>
          </a:p>
        </c:rich>
      </c:tx>
      <c:layout>
        <c:manualLayout>
          <c:xMode val="edge"/>
          <c:yMode val="edge"/>
          <c:x val="0.21600610330407263"/>
          <c:y val="2.310215589863494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rgbClr val="538E55"/>
              </a:solidFill>
              <a:latin typeface="+mn-lt"/>
              <a:ea typeface="+mn-ea"/>
              <a:cs typeface="+mn-cs"/>
            </a:defRPr>
          </a:pPr>
          <a:endParaRPr lang="en-AU"/>
        </a:p>
      </c:txPr>
    </c:title>
    <c:autoTitleDeleted val="0"/>
    <c:plotArea>
      <c:layout>
        <c:manualLayout>
          <c:layoutTarget val="inner"/>
          <c:xMode val="edge"/>
          <c:yMode val="edge"/>
          <c:x val="0.20134592924688244"/>
          <c:y val="0.13189010762301001"/>
          <c:w val="0.65711675394642644"/>
          <c:h val="0.63970842072688505"/>
        </c:manualLayout>
      </c:layout>
      <c:doughnutChart>
        <c:varyColors val="1"/>
        <c:ser>
          <c:idx val="0"/>
          <c:order val="0"/>
          <c:dPt>
            <c:idx val="0"/>
            <c:bubble3D val="0"/>
            <c:spPr>
              <a:solidFill>
                <a:srgbClr val="90AF3E"/>
              </a:solidFill>
              <a:ln w="19050">
                <a:solidFill>
                  <a:schemeClr val="lt1"/>
                </a:solidFill>
              </a:ln>
              <a:effectLst/>
            </c:spPr>
            <c:extLst>
              <c:ext xmlns:c16="http://schemas.microsoft.com/office/drawing/2014/chart" uri="{C3380CC4-5D6E-409C-BE32-E72D297353CC}">
                <c16:uniqueId val="{00000001-1282-4B84-8A5A-A79885EACB96}"/>
              </c:ext>
            </c:extLst>
          </c:dPt>
          <c:dPt>
            <c:idx val="1"/>
            <c:bubble3D val="0"/>
            <c:spPr>
              <a:solidFill>
                <a:srgbClr val="DD6D2B"/>
              </a:solidFill>
              <a:ln w="19050">
                <a:solidFill>
                  <a:schemeClr val="lt1"/>
                </a:solidFill>
              </a:ln>
              <a:effectLst/>
            </c:spPr>
            <c:extLst>
              <c:ext xmlns:c16="http://schemas.microsoft.com/office/drawing/2014/chart" uri="{C3380CC4-5D6E-409C-BE32-E72D297353CC}">
                <c16:uniqueId val="{00000003-1282-4B84-8A5A-A79885EACB9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[2]Linked_Data_C!$A$309:$A$310</c:f>
              <c:strCache>
                <c:ptCount val="2"/>
                <c:pt idx="0">
                  <c:v>Disability Indicated</c:v>
                </c:pt>
                <c:pt idx="1">
                  <c:v>Disability Not Indicated</c:v>
                </c:pt>
              </c:strCache>
            </c:strRef>
          </c:cat>
          <c:val>
            <c:numRef>
              <c:f>[2]Linked_Data_C!$B$309:$B$310</c:f>
              <c:numCache>
                <c:formatCode>General</c:formatCode>
                <c:ptCount val="2"/>
                <c:pt idx="0">
                  <c:v>24361</c:v>
                </c:pt>
                <c:pt idx="1">
                  <c:v>47974</c:v>
                </c:pt>
              </c:numCache>
            </c:numRef>
          </c:val>
          <c:extLst>
            <c:ext xmlns:c16="http://schemas.microsoft.com/office/drawing/2014/chart" uri="{C3380CC4-5D6E-409C-BE32-E72D297353CC}">
              <c16:uniqueId val="{00000004-1282-4B84-8A5A-A79885EACB96}"/>
            </c:ext>
          </c:extLst>
        </c:ser>
        <c:dLbls>
          <c:showLegendKey val="0"/>
          <c:showVal val="1"/>
          <c:showCatName val="0"/>
          <c:showSerName val="0"/>
          <c:showPercent val="0"/>
          <c:showBubbleSize val="0"/>
          <c:showLeaderLines val="1"/>
        </c:dLbls>
        <c:firstSliceAng val="238"/>
        <c:holeSize val="50"/>
      </c:doughnutChart>
      <c:spPr>
        <a:noFill/>
        <a:ln>
          <a:noFill/>
        </a:ln>
        <a:effectLst/>
      </c:spPr>
    </c:plotArea>
    <c:legend>
      <c:legendPos val="b"/>
      <c:layout>
        <c:manualLayout>
          <c:xMode val="edge"/>
          <c:yMode val="edge"/>
          <c:x val="2.6374656218211959E-2"/>
          <c:y val="0.78651629245034327"/>
          <c:w val="0.94725068756357622"/>
          <c:h val="0.20183887494412545"/>
        </c:manualLayout>
      </c:layout>
      <c:overlay val="0"/>
      <c:spPr>
        <a:noFill/>
        <a:ln>
          <a:noFill/>
        </a:ln>
        <a:effectLst/>
      </c:spPr>
      <c:txPr>
        <a:bodyPr rot="0" spcFirstLastPara="1" vertOverflow="ellipsis" vert="horz" wrap="square" anchor="ctr" anchorCtr="1"/>
        <a:lstStyle/>
        <a:p>
          <a:pPr rtl="0">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200" b="1" i="0" u="none" strike="noStrike" kern="1200" spc="0" baseline="0">
                <a:solidFill>
                  <a:srgbClr val="538E55"/>
                </a:solidFill>
                <a:latin typeface="+mn-lt"/>
                <a:ea typeface="+mn-ea"/>
                <a:cs typeface="+mn-cs"/>
              </a:defRPr>
            </a:pPr>
            <a:r>
              <a:rPr lang="en-AU" sz="1200" b="1">
                <a:solidFill>
                  <a:srgbClr val="538E55"/>
                </a:solidFill>
              </a:rPr>
              <a:t>Indigenous</a:t>
            </a:r>
            <a:r>
              <a:rPr lang="en-AU" sz="1200" b="1" baseline="0">
                <a:solidFill>
                  <a:srgbClr val="538E55"/>
                </a:solidFill>
              </a:rPr>
              <a:t> Status</a:t>
            </a:r>
            <a:endParaRPr lang="en-AU" sz="1200" b="1">
              <a:solidFill>
                <a:srgbClr val="538E55"/>
              </a:solidFill>
            </a:endParaRPr>
          </a:p>
        </c:rich>
      </c:tx>
      <c:layout>
        <c:manualLayout>
          <c:xMode val="edge"/>
          <c:yMode val="edge"/>
          <c:x val="0.24170214369136872"/>
          <c:y val="4.0488257745074439E-2"/>
        </c:manualLayout>
      </c:layout>
      <c:overlay val="0"/>
      <c:spPr>
        <a:noFill/>
        <a:ln>
          <a:noFill/>
        </a:ln>
        <a:effectLst/>
      </c:spPr>
      <c:txPr>
        <a:bodyPr rot="0" spcFirstLastPara="1" vertOverflow="ellipsis" vert="horz" wrap="square" anchor="ctr" anchorCtr="1"/>
        <a:lstStyle/>
        <a:p>
          <a:pPr algn="ctr">
            <a:defRPr sz="1200" b="1" i="0" u="none" strike="noStrike" kern="1200" spc="0" baseline="0">
              <a:solidFill>
                <a:srgbClr val="538E55"/>
              </a:solidFill>
              <a:latin typeface="+mn-lt"/>
              <a:ea typeface="+mn-ea"/>
              <a:cs typeface="+mn-cs"/>
            </a:defRPr>
          </a:pPr>
          <a:endParaRPr lang="en-AU"/>
        </a:p>
      </c:txPr>
    </c:title>
    <c:autoTitleDeleted val="0"/>
    <c:plotArea>
      <c:layout>
        <c:manualLayout>
          <c:layoutTarget val="inner"/>
          <c:xMode val="edge"/>
          <c:yMode val="edge"/>
          <c:x val="0.12129838710859139"/>
          <c:y val="0.18955444848978353"/>
          <c:w val="0.76974019607843136"/>
          <c:h val="0.59416411699312321"/>
        </c:manualLayout>
      </c:layout>
      <c:doughnutChart>
        <c:varyColors val="1"/>
        <c:ser>
          <c:idx val="0"/>
          <c:order val="0"/>
          <c:spPr>
            <a:solidFill>
              <a:srgbClr val="90AF3E"/>
            </a:solidFill>
          </c:spPr>
          <c:dPt>
            <c:idx val="0"/>
            <c:bubble3D val="0"/>
            <c:spPr>
              <a:solidFill>
                <a:srgbClr val="90AF3E"/>
              </a:solidFill>
              <a:ln w="19050">
                <a:solidFill>
                  <a:schemeClr val="lt1"/>
                </a:solidFill>
              </a:ln>
              <a:effectLst/>
            </c:spPr>
            <c:extLst>
              <c:ext xmlns:c16="http://schemas.microsoft.com/office/drawing/2014/chart" uri="{C3380CC4-5D6E-409C-BE32-E72D297353CC}">
                <c16:uniqueId val="{00000001-72DF-4F0F-8E74-3EC2E6DD1EBB}"/>
              </c:ext>
            </c:extLst>
          </c:dPt>
          <c:dPt>
            <c:idx val="1"/>
            <c:bubble3D val="0"/>
            <c:spPr>
              <a:solidFill>
                <a:srgbClr val="DD6D2B"/>
              </a:solidFill>
              <a:ln w="19050">
                <a:solidFill>
                  <a:schemeClr val="lt1"/>
                </a:solidFill>
              </a:ln>
              <a:effectLst/>
            </c:spPr>
            <c:extLst>
              <c:ext xmlns:c16="http://schemas.microsoft.com/office/drawing/2014/chart" uri="{C3380CC4-5D6E-409C-BE32-E72D297353CC}">
                <c16:uniqueId val="{00000003-72DF-4F0F-8E74-3EC2E6DD1EBB}"/>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[2]Linked_Data_C!$A$306:$A$307</c:f>
              <c:strCache>
                <c:ptCount val="2"/>
                <c:pt idx="0">
                  <c:v>Indigenous Status Indicated</c:v>
                </c:pt>
                <c:pt idx="1">
                  <c:v>Indigenous Status Not Indicated</c:v>
                </c:pt>
              </c:strCache>
            </c:strRef>
          </c:cat>
          <c:val>
            <c:numRef>
              <c:f>[2]Linked_Data_C!$B$306:$B$307</c:f>
              <c:numCache>
                <c:formatCode>General</c:formatCode>
                <c:ptCount val="2"/>
                <c:pt idx="0">
                  <c:v>25192</c:v>
                </c:pt>
                <c:pt idx="1">
                  <c:v>47143</c:v>
                </c:pt>
              </c:numCache>
            </c:numRef>
          </c:val>
          <c:extLst>
            <c:ext xmlns:c16="http://schemas.microsoft.com/office/drawing/2014/chart" uri="{C3380CC4-5D6E-409C-BE32-E72D297353CC}">
              <c16:uniqueId val="{00000004-72DF-4F0F-8E74-3EC2E6DD1EBB}"/>
            </c:ext>
          </c:extLst>
        </c:ser>
        <c:dLbls>
          <c:showLegendKey val="0"/>
          <c:showVal val="0"/>
          <c:showCatName val="0"/>
          <c:showSerName val="0"/>
          <c:showPercent val="0"/>
          <c:showBubbleSize val="0"/>
          <c:showLeaderLines val="1"/>
        </c:dLbls>
        <c:firstSliceAng val="234"/>
        <c:holeSize val="50"/>
      </c:doughnutChart>
      <c:spPr>
        <a:noFill/>
        <a:ln>
          <a:noFill/>
        </a:ln>
        <a:effectLst/>
      </c:spPr>
    </c:plotArea>
    <c:legend>
      <c:legendPos val="b"/>
      <c:layout>
        <c:manualLayout>
          <c:xMode val="edge"/>
          <c:yMode val="edge"/>
          <c:x val="3.2435105300832615E-2"/>
          <c:y val="0.82780089170076443"/>
          <c:w val="0.92914845722035944"/>
          <c:h val="0.13726461048264163"/>
        </c:manualLayout>
      </c:layout>
      <c:overlay val="0"/>
      <c:spPr>
        <a:noFill/>
        <a:ln>
          <a:noFill/>
        </a:ln>
        <a:effectLst/>
      </c:spPr>
      <c:txPr>
        <a:bodyPr rot="0" spcFirstLastPara="1" vertOverflow="ellipsis" vert="horz" wrap="square" anchor="ctr" anchorCtr="1"/>
        <a:lstStyle/>
        <a:p>
          <a:pPr rtl="0">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rgbClr val="538E55"/>
                </a:solidFill>
                <a:latin typeface="+mn-lt"/>
                <a:ea typeface="+mn-ea"/>
                <a:cs typeface="+mn-cs"/>
              </a:defRPr>
            </a:pPr>
            <a:r>
              <a:rPr lang="en-AU" sz="1200" b="1">
                <a:solidFill>
                  <a:srgbClr val="538E55"/>
                </a:solidFill>
              </a:rPr>
              <a:t>Application</a:t>
            </a:r>
            <a:r>
              <a:rPr lang="en-AU" sz="1200" b="1" baseline="0">
                <a:solidFill>
                  <a:srgbClr val="538E55"/>
                </a:solidFill>
              </a:rPr>
              <a:t> Method</a:t>
            </a:r>
            <a:endParaRPr lang="en-AU" sz="1200" b="1">
              <a:solidFill>
                <a:srgbClr val="538E55"/>
              </a:solidFill>
            </a:endParaRPr>
          </a:p>
        </c:rich>
      </c:tx>
      <c:layout>
        <c:manualLayout>
          <c:xMode val="edge"/>
          <c:yMode val="edge"/>
          <c:x val="0.19894134046641301"/>
          <c:y val="2.8792994762117621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rgbClr val="538E55"/>
              </a:solidFill>
              <a:latin typeface="+mn-lt"/>
              <a:ea typeface="+mn-ea"/>
              <a:cs typeface="+mn-cs"/>
            </a:defRPr>
          </a:pPr>
          <a:endParaRPr lang="en-AU"/>
        </a:p>
      </c:txPr>
    </c:title>
    <c:autoTitleDeleted val="0"/>
    <c:plotArea>
      <c:layout>
        <c:manualLayout>
          <c:layoutTarget val="inner"/>
          <c:xMode val="edge"/>
          <c:yMode val="edge"/>
          <c:x val="0.22777097539841015"/>
          <c:y val="0.14854267670689636"/>
          <c:w val="0.60260332290999508"/>
          <c:h val="0.58663915918807097"/>
        </c:manualLayout>
      </c:layout>
      <c:doughnutChart>
        <c:varyColors val="1"/>
        <c:ser>
          <c:idx val="0"/>
          <c:order val="0"/>
          <c:spPr>
            <a:solidFill>
              <a:srgbClr val="DD6D2B"/>
            </a:solidFill>
          </c:spPr>
          <c:dPt>
            <c:idx val="0"/>
            <c:bubble3D val="0"/>
            <c:spPr>
              <a:solidFill>
                <a:srgbClr val="90AF3E"/>
              </a:solidFill>
              <a:ln w="19050">
                <a:solidFill>
                  <a:schemeClr val="lt1"/>
                </a:solidFill>
              </a:ln>
              <a:effectLst/>
            </c:spPr>
            <c:extLst>
              <c:ext xmlns:c16="http://schemas.microsoft.com/office/drawing/2014/chart" uri="{C3380CC4-5D6E-409C-BE32-E72D297353CC}">
                <c16:uniqueId val="{00000001-4506-4EF0-A3B8-6172E4598D08}"/>
              </c:ext>
            </c:extLst>
          </c:dPt>
          <c:dPt>
            <c:idx val="1"/>
            <c:bubble3D val="0"/>
            <c:spPr>
              <a:solidFill>
                <a:srgbClr val="DD6D2B"/>
              </a:solidFill>
              <a:ln w="19050">
                <a:solidFill>
                  <a:schemeClr val="lt1"/>
                </a:solidFill>
              </a:ln>
              <a:effectLst/>
            </c:spPr>
            <c:extLst>
              <c:ext xmlns:c16="http://schemas.microsoft.com/office/drawing/2014/chart" uri="{C3380CC4-5D6E-409C-BE32-E72D297353CC}">
                <c16:uniqueId val="{00000003-4506-4EF0-A3B8-6172E4598D08}"/>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[2]Linked_Data_C!$A$314:$A$315</c:f>
              <c:strCache>
                <c:ptCount val="2"/>
                <c:pt idx="0">
                  <c:v>Paper</c:v>
                </c:pt>
                <c:pt idx="1">
                  <c:v>Online</c:v>
                </c:pt>
              </c:strCache>
            </c:strRef>
          </c:cat>
          <c:val>
            <c:numRef>
              <c:f>[2]Linked_Data_C!$C$314:$C$315</c:f>
              <c:numCache>
                <c:formatCode>General</c:formatCode>
                <c:ptCount val="2"/>
                <c:pt idx="0">
                  <c:v>32493</c:v>
                </c:pt>
                <c:pt idx="1">
                  <c:v>39841</c:v>
                </c:pt>
              </c:numCache>
            </c:numRef>
          </c:val>
          <c:extLst>
            <c:ext xmlns:c16="http://schemas.microsoft.com/office/drawing/2014/chart" uri="{C3380CC4-5D6E-409C-BE32-E72D297353CC}">
              <c16:uniqueId val="{00000004-4506-4EF0-A3B8-6172E4598D08}"/>
            </c:ext>
          </c:extLst>
        </c:ser>
        <c:dLbls>
          <c:showLegendKey val="0"/>
          <c:showVal val="0"/>
          <c:showCatName val="0"/>
          <c:showSerName val="0"/>
          <c:showPercent val="0"/>
          <c:showBubbleSize val="0"/>
          <c:showLeaderLines val="1"/>
        </c:dLbls>
        <c:firstSliceAng val="198"/>
        <c:holeSize val="50"/>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bg2">
          <a:lumMod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BB794C59E72944FB2796100B58ABF44" ma:contentTypeVersion="" ma:contentTypeDescription="PDMS Document Site Content Type" ma:contentTypeScope="" ma:versionID="cb5bfe13c96205aceb7d4e33d0910b5d">
  <xsd:schema xmlns:xsd="http://www.w3.org/2001/XMLSchema" xmlns:xs="http://www.w3.org/2001/XMLSchema" xmlns:p="http://schemas.microsoft.com/office/2006/metadata/properties" xmlns:ns2="7EB00AE1-84E6-4292-AF39-8164B3D4EA9A" targetNamespace="http://schemas.microsoft.com/office/2006/metadata/properties" ma:root="true" ma:fieldsID="4ec09222774c48f850bc06c7d7773cb1" ns2:_="">
    <xsd:import namespace="7EB00AE1-84E6-4292-AF39-8164B3D4EA9A"/>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00AE1-84E6-4292-AF39-8164B3D4EA9A"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7EB00AE1-84E6-4292-AF39-8164B3D4EA9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F3438-A6E1-4FAE-8320-1489A89B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00AE1-84E6-4292-AF39-8164B3D4E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AAC1DA-D7F3-47A7-BE62-D706A56967EB}">
  <ds:schemaRefs>
    <ds:schemaRef ds:uri="http://schemas.openxmlformats.org/officeDocument/2006/bibliography"/>
  </ds:schemaRefs>
</ds:datastoreItem>
</file>

<file path=customXml/itemProps3.xml><?xml version="1.0" encoding="utf-8"?>
<ds:datastoreItem xmlns:ds="http://schemas.openxmlformats.org/officeDocument/2006/customXml" ds:itemID="{7EEB7206-7306-42C5-85C9-29BA3DA284E9}">
  <ds:schemaRefs>
    <ds:schemaRef ds:uri="http://schemas.microsoft.com/office/2006/metadata/properties"/>
    <ds:schemaRef ds:uri="http://schemas.microsoft.com/office/infopath/2007/PartnerControls"/>
    <ds:schemaRef ds:uri="7EB00AE1-84E6-4292-AF39-8164B3D4EA9A"/>
  </ds:schemaRefs>
</ds:datastoreItem>
</file>

<file path=customXml/itemProps4.xml><?xml version="1.0" encoding="utf-8"?>
<ds:datastoreItem xmlns:ds="http://schemas.openxmlformats.org/officeDocument/2006/customXml" ds:itemID="{AEA60A9F-DB99-476D-95F7-0C9B073313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16</Pages>
  <Words>2954</Words>
  <Characters>16247</Characters>
  <Application>Microsoft Office Word</Application>
  <DocSecurity>0</DocSecurity>
  <Lines>451</Lines>
  <Paragraphs>325</Paragraphs>
  <ScaleCrop>false</ScaleCrop>
  <HeadingPairs>
    <vt:vector size="2" baseType="variant">
      <vt:variant>
        <vt:lpstr>Title</vt:lpstr>
      </vt:variant>
      <vt:variant>
        <vt:i4>1</vt:i4>
      </vt:variant>
    </vt:vector>
  </HeadingPairs>
  <TitlesOfParts>
    <vt:vector size="1" baseType="lpstr">
      <vt:lpstr/>
    </vt:vector>
  </TitlesOfParts>
  <Company>Department of Social Services</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Susan</dc:creator>
  <cp:keywords>[SEC=OFFICIAL]</cp:keywords>
  <dc:description/>
  <cp:lastModifiedBy>LAMBERTH, Craig</cp:lastModifiedBy>
  <cp:revision>7</cp:revision>
  <dcterms:created xsi:type="dcterms:W3CDTF">2026-05-21T01:24:00Z</dcterms:created>
  <dcterms:modified xsi:type="dcterms:W3CDTF">2026-05-22T01:18:00Z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v=2024.1;a=SHA256;h=7C338B31AA2B03900BD973B7B488389E9AE595CD6CF963F7FA376CF4E1262E57</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2025-07-08T23:53:17Z</vt:lpwstr>
  </property>
  <property fmtid="{D5CDD505-2E9C-101B-9397-08002B2CF9AE}" pid="12" name="PM_DownTo">
    <vt:lpwstr/>
  </property>
  <property fmtid="{D5CDD505-2E9C-101B-9397-08002B2CF9AE}" pid="13" name="PM_Markers">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MSIP_Label_eb34d90b-fc41-464d-af60-f74d721d0790_SiteId">
    <vt:lpwstr>61e36dd1-ca6e-4d61-aa0a-2b4eb88317a3</vt:lpwstr>
  </property>
  <property fmtid="{D5CDD505-2E9C-101B-9397-08002B2CF9AE}" pid="17" name="MSIP_Label_eb34d90b-fc41-464d-af60-f74d721d0790_ContentBits">
    <vt:lpwstr>3</vt:lpwstr>
  </property>
  <property fmtid="{D5CDD505-2E9C-101B-9397-08002B2CF9AE}" pid="18" name="MSIP_Label_eb34d90b-fc41-464d-af60-f74d721d0790_Enabled">
    <vt:lpwstr>true</vt:lpwstr>
  </property>
  <property fmtid="{D5CDD505-2E9C-101B-9397-08002B2CF9AE}" pid="19" name="MSIP_Label_eb34d90b-fc41-464d-af60-f74d721d0790_SetDate">
    <vt:lpwstr>2025-07-08T23:53:17Z</vt:lpwstr>
  </property>
  <property fmtid="{D5CDD505-2E9C-101B-9397-08002B2CF9AE}" pid="20" name="MSIP_Label_eb34d90b-fc41-464d-af60-f74d721d0790_Method">
    <vt:lpwstr>Privileged</vt:lpwstr>
  </property>
  <property fmtid="{D5CDD505-2E9C-101B-9397-08002B2CF9AE}" pid="21" name="MSIP_Label_eb34d90b-fc41-464d-af60-f74d721d0790_ActionId">
    <vt:lpwstr>bf5fea85ee564a858ec0ec6312c39c33</vt:lpwstr>
  </property>
  <property fmtid="{D5CDD505-2E9C-101B-9397-08002B2CF9AE}" pid="22" name="PM_InsertionValue">
    <vt:lpwstr>OFFICIAL</vt:lpwstr>
  </property>
  <property fmtid="{D5CDD505-2E9C-101B-9397-08002B2CF9AE}" pid="23" name="PM_Originator_Hash_SHA1">
    <vt:lpwstr>DC3EAC6FB4874D452CD0D6E554940955B9FF8C9D</vt:lpwstr>
  </property>
  <property fmtid="{D5CDD505-2E9C-101B-9397-08002B2CF9AE}" pid="24" name="PM_Originating_FileId">
    <vt:lpwstr>8C12696BAEB447749354646C6C8AED05</vt:lpwstr>
  </property>
  <property fmtid="{D5CDD505-2E9C-101B-9397-08002B2CF9AE}" pid="25" name="PM_ProtectiveMarkingValue_Footer">
    <vt:lpwstr>OFFICIAL</vt:lpwstr>
  </property>
  <property fmtid="{D5CDD505-2E9C-101B-9397-08002B2CF9AE}" pid="26" name="PM_Display">
    <vt:lpwstr>OFFICIAL</vt:lpwstr>
  </property>
  <property fmtid="{D5CDD505-2E9C-101B-9397-08002B2CF9AE}" pid="27" name="PM_OriginatorUserAccountName_SHA256">
    <vt:lpwstr>56084DE7D87471392F5BD2235C8043EAEC8018D05D094D5A8468DE8533D8A2CE</vt:lpwstr>
  </property>
  <property fmtid="{D5CDD505-2E9C-101B-9397-08002B2CF9AE}" pid="28" name="PM_OriginatorDomainName_SHA256">
    <vt:lpwstr>E83A2A66C4061446A7E3732E8D44762184B6B377D962B96C83DC624302585857</vt:lpwstr>
  </property>
  <property fmtid="{D5CDD505-2E9C-101B-9397-08002B2CF9AE}" pid="29" name="PMUuid">
    <vt:lpwstr>v=2022.2;d=gov.au;g=46DD6D7C-8107-577B-BC6E-F348953B2E44</vt:lpwstr>
  </property>
  <property fmtid="{D5CDD505-2E9C-101B-9397-08002B2CF9AE}" pid="30" name="PM_Hash_Version">
    <vt:lpwstr>2024.1</vt:lpwstr>
  </property>
  <property fmtid="{D5CDD505-2E9C-101B-9397-08002B2CF9AE}" pid="31" name="PM_Hash_Salt_Prev">
    <vt:lpwstr>0F08E131A9EBB4C0A18E78B105F4EB79</vt:lpwstr>
  </property>
  <property fmtid="{D5CDD505-2E9C-101B-9397-08002B2CF9AE}" pid="32" name="PM_Hash_Salt">
    <vt:lpwstr>59D7BDE8B50B3DFBF88E1B9FD7BD1F23</vt:lpwstr>
  </property>
  <property fmtid="{D5CDD505-2E9C-101B-9397-08002B2CF9AE}" pid="33" name="PM_Hash_SHA1">
    <vt:lpwstr>2669980B2109673CE6AD70D2F337B718D454E494</vt:lpwstr>
  </property>
  <property fmtid="{D5CDD505-2E9C-101B-9397-08002B2CF9AE}" pid="34" name="PM_SecurityClassification_Prev">
    <vt:lpwstr>OFFICIAL</vt:lpwstr>
  </property>
  <property fmtid="{D5CDD505-2E9C-101B-9397-08002B2CF9AE}" pid="35" name="PM_Qualifier_Prev">
    <vt:lpwstr/>
  </property>
  <property fmtid="{D5CDD505-2E9C-101B-9397-08002B2CF9AE}" pid="36" name="ContentTypeId">
    <vt:lpwstr>0x010100266966F133664895A6EE3632470D45F500FBB794C59E72944FB2796100B58ABF44</vt:lpwstr>
  </property>
  <property fmtid="{D5CDD505-2E9C-101B-9397-08002B2CF9AE}" pid="37" name="PM_DowngradeTo">
    <vt:lpwstr/>
  </property>
</Properties>
</file>